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5C74" w:rsidP="00685C74">
      <w:pPr>
        <w:pStyle w:val="Title"/>
      </w:pPr>
      <w:r>
        <w:fldChar w:fldCharType="begin"/>
      </w:r>
      <w:r>
        <w:instrText xml:space="preserve"> TITLE   \* MERGEFORMAT </w:instrText>
      </w:r>
      <w:r>
        <w:fldChar w:fldCharType="separate"/>
      </w:r>
      <w:r>
        <w:t>TLIE3026 Carry out advanced calculations in the transport and logistics industry</w:t>
      </w:r>
      <w:r>
        <w:fldChar w:fldCharType="end"/>
      </w:r>
    </w:p>
    <w:p w:rsidR="00685C74" w:rsidP="00685C74">
      <w:pPr>
        <w:pStyle w:val="Version"/>
        <w:sectPr w:rsidSect="00C022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22B8" w:rsidP="00C022B8">
      <w:pPr>
        <w:pStyle w:val="SuperHeading"/>
      </w:pPr>
      <w:r w:rsidRPr="00C022B8">
        <w:t>TLIE3026 Carry out advanced calculations in the transport and logistics industry</w:t>
      </w:r>
    </w:p>
    <w:p w:rsidR="00000000" w:rsidRPr="00C022B8" w:rsidP="00C022B8">
      <w:pPr>
        <w:pStyle w:val="Heading1"/>
      </w:pPr>
      <w:bookmarkStart w:id="1" w:name="O_844512"/>
      <w:bookmarkEnd w:id="1"/>
      <w:r w:rsidRPr="00C022B8">
        <w:t>Modification History</w:t>
      </w:r>
    </w:p>
    <w:p w:rsidR="00685C74" w:rsidP="00685C74">
      <w:pPr>
        <w:pStyle w:val="BodyText"/>
      </w:pPr>
      <w:r w:rsidRPr="00C022B8">
        <w:t>Release 1. This is the first release of this unit of competency in the TLI Transport and Logistics Training Package.</w:t>
      </w:r>
    </w:p>
    <w:p w:rsidR="00000000" w:rsidRPr="00C022B8" w:rsidP="00C022B8">
      <w:pPr>
        <w:pStyle w:val="Heading1"/>
      </w:pPr>
      <w:bookmarkStart w:id="2" w:name="O_844513"/>
      <w:bookmarkEnd w:id="2"/>
      <w:r w:rsidRPr="00C022B8">
        <w:t>Application</w:t>
      </w:r>
    </w:p>
    <w:tbl>
      <w:tblPr>
        <w:tblW w:w="9498" w:type="dxa"/>
        <w:tblLayout w:type="fixed"/>
        <w:tblCellMar>
          <w:left w:w="62" w:type="dxa"/>
          <w:right w:w="62" w:type="dxa"/>
        </w:tblCellMar>
        <w:tblLook w:val="0000"/>
      </w:tblPr>
      <w:tblGrid>
        <w:gridCol w:w="9498"/>
      </w:tblGrid>
      <w:tr w:rsidTr="00C022B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022B8" w:rsidP="00C022B8">
            <w:pPr>
              <w:pStyle w:val="BodyText"/>
            </w:pPr>
            <w:r w:rsidRPr="00C022B8">
              <w:t>This unit involves the skills and knowledge required to carry out advanced calculations in the transport and logistics industry.</w:t>
            </w:r>
          </w:p>
          <w:p w:rsidR="00000000" w:rsidRPr="00C022B8" w:rsidP="00C022B8">
            <w:pPr>
              <w:pStyle w:val="BodyText"/>
            </w:pPr>
            <w:r w:rsidRPr="00C022B8">
              <w:t>It includes identifying required calculations, applying advanced calculation in workplace tasks, preparing estimate</w:t>
            </w:r>
            <w:r w:rsidRPr="00C022B8">
              <w:t>s, and interpreting graphical representations of mathematical information.</w:t>
            </w:r>
          </w:p>
          <w:p w:rsidR="00000000" w:rsidRPr="00C022B8" w:rsidP="00C022B8">
            <w:pPr>
              <w:pStyle w:val="BodyText"/>
            </w:pPr>
            <w:r w:rsidRPr="00C022B8">
              <w:t>No licensing, legislative or certification requirements apply to this unit at the time of publication.</w:t>
            </w:r>
          </w:p>
        </w:tc>
      </w:tr>
    </w:tbl>
    <w:p w:rsidR="00685C74" w:rsidP="00C022B8">
      <w:pPr>
        <w:pStyle w:val="BodyText"/>
      </w:pPr>
    </w:p>
    <w:p w:rsidR="00685C74" w:rsidP="00C022B8">
      <w:pPr>
        <w:pStyle w:val="BodyText"/>
      </w:pPr>
    </w:p>
    <w:p w:rsidR="00000000" w:rsidRPr="00C022B8" w:rsidP="00C022B8">
      <w:pPr>
        <w:pStyle w:val="Heading1"/>
      </w:pPr>
      <w:bookmarkStart w:id="3" w:name="O_844514"/>
      <w:bookmarkEnd w:id="3"/>
      <w:r w:rsidRPr="00C022B8">
        <w:t>Pre-requisite Unit</w:t>
      </w:r>
    </w:p>
    <w:p w:rsidR="00685C74" w:rsidP="00685C74">
      <w:pPr>
        <w:pStyle w:val="BodyText"/>
      </w:pPr>
      <w:r w:rsidRPr="00C022B8">
        <w:t>Not applicable.</w:t>
      </w:r>
    </w:p>
    <w:p w:rsidR="00000000" w:rsidRPr="00C022B8" w:rsidP="00C022B8">
      <w:pPr>
        <w:pStyle w:val="Heading1"/>
      </w:pPr>
      <w:bookmarkStart w:id="4" w:name="O_844515"/>
      <w:bookmarkEnd w:id="4"/>
      <w:r w:rsidRPr="00C022B8">
        <w:t>Compe</w:t>
      </w:r>
      <w:r w:rsidRPr="00C022B8">
        <w:t>tency Field</w:t>
      </w:r>
    </w:p>
    <w:p w:rsidR="00685C74" w:rsidP="00685C74">
      <w:pPr>
        <w:pStyle w:val="BodyText"/>
      </w:pPr>
      <w:r w:rsidRPr="00C022B8">
        <w:t>E – Communication and Calculation</w:t>
      </w:r>
    </w:p>
    <w:p w:rsidR="00000000" w:rsidRPr="00C022B8" w:rsidP="00C022B8">
      <w:pPr>
        <w:pStyle w:val="Heading1"/>
      </w:pPr>
      <w:bookmarkStart w:id="5" w:name="O_844516"/>
      <w:bookmarkEnd w:id="5"/>
      <w:r w:rsidRPr="00C022B8">
        <w:t>Unit Sector</w:t>
      </w:r>
    </w:p>
    <w:p w:rsidR="00685C74" w:rsidP="00685C74">
      <w:pPr>
        <w:pStyle w:val="BodyText"/>
      </w:pPr>
      <w:r w:rsidRPr="00C022B8">
        <w:t>Not applicable.</w:t>
      </w:r>
    </w:p>
    <w:p w:rsidR="00000000" w:rsidRPr="00C022B8" w:rsidP="00C022B8">
      <w:pPr>
        <w:pStyle w:val="Heading1"/>
      </w:pPr>
      <w:bookmarkStart w:id="6" w:name="O_844517"/>
      <w:bookmarkEnd w:id="6"/>
      <w:r w:rsidRPr="00C022B8">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685C74">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C022B8" w:rsidP="00C022B8">
            <w:pPr>
              <w:pStyle w:val="BodyText"/>
            </w:pPr>
            <w:r w:rsidRPr="00C022B8">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C022B8">
            <w:pPr>
              <w:pStyle w:val="BodyText"/>
              <w:rPr>
                <w:lang w:val="en-NZ"/>
              </w:rPr>
            </w:pPr>
            <w:r w:rsidRPr="00C022B8">
              <w:rPr>
                <w:rStyle w:val="SpecialBold"/>
              </w:rPr>
              <w:t>PERFORMANCE CRITERIA</w:t>
            </w:r>
          </w:p>
        </w:tc>
      </w:tr>
      <w:tr w:rsidTr="00685C74">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C022B8">
            <w:pPr>
              <w:pStyle w:val="BodyText"/>
              <w:rPr>
                <w:lang w:val="en-NZ"/>
              </w:rPr>
            </w:pPr>
            <w:r w:rsidRPr="00C022B8">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C022B8">
            <w:pPr>
              <w:pStyle w:val="BodyText"/>
              <w:rPr>
                <w:lang w:val="en-NZ"/>
              </w:rPr>
            </w:pPr>
            <w:r w:rsidRPr="00C022B8">
              <w:t>Performance criteria describe the performance needed to demonstrate achievement of the element.</w:t>
            </w:r>
          </w:p>
        </w:tc>
      </w:tr>
      <w:tr w:rsidTr="00685C7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022B8" w:rsidP="00C022B8">
            <w:pPr>
              <w:pStyle w:val="BodyText"/>
            </w:pPr>
            <w:r w:rsidRPr="00C022B8">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C022B8">
            <w:pPr>
              <w:pStyle w:val="BodyText"/>
              <w:rPr>
                <w:lang w:val="en-NZ"/>
              </w:rPr>
            </w:pPr>
            <w:r w:rsidRPr="00C022B8">
              <w:rPr>
                <w:rStyle w:val="SpecialBold"/>
              </w:rPr>
              <w:t xml:space="preserve">Identify required </w:t>
            </w:r>
            <w:r w:rsidRPr="00C022B8">
              <w:rPr>
                <w:rStyle w:val="SpecialBold"/>
              </w:rPr>
              <w:t>calculations</w:t>
            </w:r>
          </w:p>
        </w:tc>
        <w:tc>
          <w:tcPr>
            <w:tcW w:w="719" w:type="dxa"/>
            <w:tcBorders>
              <w:top w:val="nil"/>
              <w:left w:val="nil"/>
              <w:bottom w:val="nil"/>
              <w:right w:val="nil"/>
            </w:tcBorders>
            <w:tcMar>
              <w:top w:w="0" w:type="dxa"/>
              <w:left w:w="62" w:type="dxa"/>
              <w:bottom w:w="0" w:type="dxa"/>
              <w:right w:w="62" w:type="dxa"/>
            </w:tcMar>
          </w:tcPr>
          <w:p w:rsidR="00000000" w:rsidP="00C022B8">
            <w:pPr>
              <w:pStyle w:val="BodyText"/>
              <w:rPr>
                <w:lang w:val="en-NZ"/>
              </w:rPr>
            </w:pPr>
            <w:r w:rsidRPr="00C022B8">
              <w:t>1.1</w:t>
            </w:r>
          </w:p>
        </w:tc>
        <w:tc>
          <w:tcPr>
            <w:tcW w:w="6045" w:type="dxa"/>
            <w:tcBorders>
              <w:top w:val="nil"/>
              <w:left w:val="nil"/>
              <w:bottom w:val="nil"/>
              <w:right w:val="nil"/>
            </w:tcBorders>
            <w:tcMar>
              <w:top w:w="0" w:type="dxa"/>
              <w:left w:w="62" w:type="dxa"/>
              <w:bottom w:w="0" w:type="dxa"/>
              <w:right w:w="62" w:type="dxa"/>
            </w:tcMar>
          </w:tcPr>
          <w:p w:rsidR="00000000" w:rsidP="00C022B8">
            <w:pPr>
              <w:pStyle w:val="BodyText"/>
              <w:rPr>
                <w:lang w:val="en-NZ"/>
              </w:rPr>
            </w:pPr>
            <w:r w:rsidRPr="00C022B8">
              <w:t xml:space="preserve">Nature of calculation required and items involved are </w:t>
            </w:r>
            <w:r w:rsidRPr="00C022B8">
              <w:t>determined</w:t>
            </w:r>
          </w:p>
        </w:tc>
      </w:tr>
      <w:tr w:rsidTr="00685C7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22B8">
            <w:pPr>
              <w:pStyle w:val="BodyText"/>
              <w:rPr>
                <w:lang w:val="en-NZ"/>
              </w:rPr>
            </w:pPr>
            <w:r w:rsidRPr="00C022B8">
              <w:t>1.2</w:t>
            </w:r>
          </w:p>
        </w:tc>
        <w:tc>
          <w:tcPr>
            <w:tcW w:w="6045" w:type="dxa"/>
            <w:tcBorders>
              <w:top w:val="nil"/>
              <w:left w:val="nil"/>
              <w:bottom w:val="nil"/>
              <w:right w:val="nil"/>
            </w:tcBorders>
            <w:tcMar>
              <w:top w:w="0" w:type="dxa"/>
              <w:left w:w="62" w:type="dxa"/>
              <w:bottom w:w="0" w:type="dxa"/>
              <w:right w:w="62" w:type="dxa"/>
            </w:tcMar>
          </w:tcPr>
          <w:p w:rsidR="00000000" w:rsidP="00C022B8">
            <w:pPr>
              <w:pStyle w:val="BodyText"/>
              <w:rPr>
                <w:lang w:val="en-NZ"/>
              </w:rPr>
            </w:pPr>
            <w:r w:rsidRPr="00C022B8">
              <w:t>Tools required to perform calculations are identified and sourced</w:t>
            </w:r>
          </w:p>
        </w:tc>
      </w:tr>
      <w:tr w:rsidTr="00685C7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022B8" w:rsidP="00C022B8">
            <w:pPr>
              <w:pStyle w:val="BodyText"/>
            </w:pPr>
            <w:r w:rsidRPr="00C022B8">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C022B8">
            <w:pPr>
              <w:pStyle w:val="BodyText"/>
              <w:rPr>
                <w:lang w:val="en-NZ"/>
              </w:rPr>
            </w:pPr>
            <w:r w:rsidRPr="00C022B8">
              <w:rPr>
                <w:rStyle w:val="SpecialBold"/>
              </w:rPr>
              <w:t>Apply advanced calculations in workplace tasks</w:t>
            </w:r>
          </w:p>
        </w:tc>
        <w:tc>
          <w:tcPr>
            <w:tcW w:w="719" w:type="dxa"/>
            <w:tcBorders>
              <w:top w:val="nil"/>
              <w:left w:val="nil"/>
              <w:bottom w:val="nil"/>
              <w:right w:val="nil"/>
            </w:tcBorders>
            <w:tcMar>
              <w:top w:w="0" w:type="dxa"/>
              <w:left w:w="62" w:type="dxa"/>
              <w:bottom w:w="0" w:type="dxa"/>
              <w:right w:w="62" w:type="dxa"/>
            </w:tcMar>
          </w:tcPr>
          <w:p w:rsidR="00000000" w:rsidP="00C022B8">
            <w:pPr>
              <w:pStyle w:val="BodyText"/>
              <w:rPr>
                <w:lang w:val="en-NZ"/>
              </w:rPr>
            </w:pPr>
            <w:r w:rsidRPr="00C022B8">
              <w:t>2.1</w:t>
            </w:r>
          </w:p>
        </w:tc>
        <w:tc>
          <w:tcPr>
            <w:tcW w:w="6045" w:type="dxa"/>
            <w:tcBorders>
              <w:top w:val="nil"/>
              <w:left w:val="nil"/>
              <w:bottom w:val="nil"/>
              <w:right w:val="nil"/>
            </w:tcBorders>
            <w:tcMar>
              <w:top w:w="0" w:type="dxa"/>
              <w:left w:w="62" w:type="dxa"/>
              <w:bottom w:w="0" w:type="dxa"/>
              <w:right w:w="62" w:type="dxa"/>
            </w:tcMar>
          </w:tcPr>
          <w:p w:rsidR="00000000" w:rsidP="00C022B8">
            <w:pPr>
              <w:pStyle w:val="BodyText"/>
              <w:rPr>
                <w:lang w:val="en-NZ"/>
              </w:rPr>
            </w:pPr>
            <w:r w:rsidRPr="00C022B8">
              <w:t>Calculations involving fractions, percentages and mixed numbers, using the four basic processes, are performed as required to complete w</w:t>
            </w:r>
            <w:r w:rsidRPr="00C022B8">
              <w:t>orkplace tasks</w:t>
            </w:r>
          </w:p>
        </w:tc>
      </w:tr>
      <w:tr w:rsidTr="00685C7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22B8">
            <w:pPr>
              <w:pStyle w:val="BodyText"/>
              <w:rPr>
                <w:lang w:val="en-NZ"/>
              </w:rPr>
            </w:pPr>
            <w:r w:rsidRPr="00C022B8">
              <w:t>2.2</w:t>
            </w:r>
          </w:p>
        </w:tc>
        <w:tc>
          <w:tcPr>
            <w:tcW w:w="6045" w:type="dxa"/>
            <w:tcBorders>
              <w:top w:val="nil"/>
              <w:left w:val="nil"/>
              <w:bottom w:val="nil"/>
              <w:right w:val="nil"/>
            </w:tcBorders>
            <w:tcMar>
              <w:top w:w="0" w:type="dxa"/>
              <w:left w:w="62" w:type="dxa"/>
              <w:bottom w:w="0" w:type="dxa"/>
              <w:right w:w="62" w:type="dxa"/>
            </w:tcMar>
          </w:tcPr>
          <w:p w:rsidR="00000000" w:rsidP="00C022B8">
            <w:pPr>
              <w:pStyle w:val="BodyText"/>
              <w:rPr>
                <w:lang w:val="en-NZ"/>
              </w:rPr>
            </w:pPr>
            <w:r w:rsidRPr="00C022B8">
              <w:t>Numerical information is checked and corrected for accuracy</w:t>
            </w:r>
          </w:p>
        </w:tc>
      </w:tr>
      <w:tr w:rsidTr="00685C7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022B8" w:rsidP="00C022B8">
            <w:pPr>
              <w:pStyle w:val="BodyText"/>
            </w:pPr>
            <w:r w:rsidRPr="00C022B8">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C022B8">
            <w:pPr>
              <w:pStyle w:val="BodyText"/>
              <w:rPr>
                <w:lang w:val="en-NZ"/>
              </w:rPr>
            </w:pPr>
            <w:r w:rsidRPr="00C022B8">
              <w:rPr>
                <w:rStyle w:val="SpecialBold"/>
              </w:rPr>
              <w:t>Prepare estimates</w:t>
            </w:r>
          </w:p>
        </w:tc>
        <w:tc>
          <w:tcPr>
            <w:tcW w:w="719" w:type="dxa"/>
            <w:tcBorders>
              <w:top w:val="nil"/>
              <w:left w:val="nil"/>
              <w:bottom w:val="nil"/>
              <w:right w:val="nil"/>
            </w:tcBorders>
            <w:tcMar>
              <w:top w:w="0" w:type="dxa"/>
              <w:left w:w="62" w:type="dxa"/>
              <w:bottom w:w="0" w:type="dxa"/>
              <w:right w:w="62" w:type="dxa"/>
            </w:tcMar>
          </w:tcPr>
          <w:p w:rsidR="00000000" w:rsidP="00C022B8">
            <w:pPr>
              <w:pStyle w:val="BodyText"/>
              <w:rPr>
                <w:lang w:val="en-NZ"/>
              </w:rPr>
            </w:pPr>
            <w:r w:rsidRPr="00C022B8">
              <w:t>3.1</w:t>
            </w:r>
          </w:p>
        </w:tc>
        <w:tc>
          <w:tcPr>
            <w:tcW w:w="6045" w:type="dxa"/>
            <w:tcBorders>
              <w:top w:val="nil"/>
              <w:left w:val="nil"/>
              <w:bottom w:val="nil"/>
              <w:right w:val="nil"/>
            </w:tcBorders>
            <w:tcMar>
              <w:top w:w="0" w:type="dxa"/>
              <w:left w:w="62" w:type="dxa"/>
              <w:bottom w:w="0" w:type="dxa"/>
              <w:right w:w="62" w:type="dxa"/>
            </w:tcMar>
          </w:tcPr>
          <w:p w:rsidR="00000000" w:rsidP="00C022B8">
            <w:pPr>
              <w:pStyle w:val="BodyText"/>
              <w:rPr>
                <w:lang w:val="en-NZ"/>
              </w:rPr>
            </w:pPr>
            <w:r w:rsidRPr="00C022B8">
              <w:t>Quantities of materials and resources required to complete work task are estimated and calculated accurately, using fractions, percentages and mixed numbers</w:t>
            </w:r>
          </w:p>
        </w:tc>
      </w:tr>
      <w:tr w:rsidTr="00685C7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22B8">
            <w:pPr>
              <w:pStyle w:val="BodyText"/>
              <w:rPr>
                <w:lang w:val="en-NZ"/>
              </w:rPr>
            </w:pPr>
            <w:r w:rsidRPr="00C022B8">
              <w:t>3.2</w:t>
            </w:r>
          </w:p>
        </w:tc>
        <w:tc>
          <w:tcPr>
            <w:tcW w:w="6045" w:type="dxa"/>
            <w:tcBorders>
              <w:top w:val="nil"/>
              <w:left w:val="nil"/>
              <w:bottom w:val="nil"/>
              <w:right w:val="nil"/>
            </w:tcBorders>
            <w:tcMar>
              <w:top w:w="0" w:type="dxa"/>
              <w:left w:w="62" w:type="dxa"/>
              <w:bottom w:w="0" w:type="dxa"/>
              <w:right w:w="62" w:type="dxa"/>
            </w:tcMar>
          </w:tcPr>
          <w:p w:rsidR="00000000" w:rsidP="00C022B8">
            <w:pPr>
              <w:pStyle w:val="BodyText"/>
              <w:rPr>
                <w:lang w:val="en-NZ"/>
              </w:rPr>
            </w:pPr>
            <w:r w:rsidRPr="00C022B8">
              <w:t>Accurate estimates for work completion are made using fractions, percentages and mixed numbe</w:t>
            </w:r>
            <w:r w:rsidRPr="00C022B8">
              <w:t>rs</w:t>
            </w:r>
          </w:p>
        </w:tc>
      </w:tr>
      <w:tr w:rsidTr="00685C7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22B8">
            <w:pPr>
              <w:pStyle w:val="BodyText"/>
              <w:rPr>
                <w:lang w:val="en-NZ"/>
              </w:rPr>
            </w:pPr>
            <w:r w:rsidRPr="00C022B8">
              <w:t>3.3</w:t>
            </w:r>
          </w:p>
        </w:tc>
        <w:tc>
          <w:tcPr>
            <w:tcW w:w="6045" w:type="dxa"/>
            <w:tcBorders>
              <w:top w:val="nil"/>
              <w:left w:val="nil"/>
              <w:bottom w:val="nil"/>
              <w:right w:val="nil"/>
            </w:tcBorders>
            <w:tcMar>
              <w:top w:w="0" w:type="dxa"/>
              <w:left w:w="62" w:type="dxa"/>
              <w:bottom w:w="0" w:type="dxa"/>
              <w:right w:w="62" w:type="dxa"/>
            </w:tcMar>
          </w:tcPr>
          <w:p w:rsidR="00000000" w:rsidP="00C022B8">
            <w:pPr>
              <w:pStyle w:val="BodyText"/>
              <w:rPr>
                <w:lang w:val="en-NZ"/>
              </w:rPr>
            </w:pPr>
            <w:r w:rsidRPr="00C022B8">
              <w:t>Working load limits (WLL) and safe working limits (SWL) of workplace equipment are calculated using advanced calculations</w:t>
            </w:r>
          </w:p>
        </w:tc>
      </w:tr>
      <w:tr w:rsidTr="00685C7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022B8" w:rsidP="00C022B8">
            <w:pPr>
              <w:pStyle w:val="BodyText"/>
            </w:pPr>
            <w:r w:rsidRPr="00C022B8">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C022B8">
            <w:pPr>
              <w:pStyle w:val="BodyText"/>
              <w:rPr>
                <w:lang w:val="en-NZ"/>
              </w:rPr>
            </w:pPr>
            <w:r w:rsidRPr="00C022B8">
              <w:rPr>
                <w:rStyle w:val="SpecialBold"/>
              </w:rPr>
              <w:t>Interpret graphical representations of mathematical information</w:t>
            </w:r>
          </w:p>
        </w:tc>
        <w:tc>
          <w:tcPr>
            <w:tcW w:w="719" w:type="dxa"/>
            <w:tcBorders>
              <w:top w:val="nil"/>
              <w:left w:val="nil"/>
              <w:bottom w:val="nil"/>
              <w:right w:val="nil"/>
            </w:tcBorders>
            <w:tcMar>
              <w:top w:w="0" w:type="dxa"/>
              <w:left w:w="62" w:type="dxa"/>
              <w:bottom w:w="0" w:type="dxa"/>
              <w:right w:w="62" w:type="dxa"/>
            </w:tcMar>
          </w:tcPr>
          <w:p w:rsidR="00000000" w:rsidP="00C022B8">
            <w:pPr>
              <w:pStyle w:val="BodyText"/>
              <w:rPr>
                <w:lang w:val="en-NZ"/>
              </w:rPr>
            </w:pPr>
            <w:r w:rsidRPr="00C022B8">
              <w:t>4.1</w:t>
            </w:r>
          </w:p>
        </w:tc>
        <w:tc>
          <w:tcPr>
            <w:tcW w:w="6045" w:type="dxa"/>
            <w:tcBorders>
              <w:top w:val="nil"/>
              <w:left w:val="nil"/>
              <w:bottom w:val="nil"/>
              <w:right w:val="nil"/>
            </w:tcBorders>
            <w:tcMar>
              <w:top w:w="0" w:type="dxa"/>
              <w:left w:w="62" w:type="dxa"/>
              <w:bottom w:w="0" w:type="dxa"/>
              <w:right w:w="62" w:type="dxa"/>
            </w:tcMar>
          </w:tcPr>
          <w:p w:rsidR="00000000" w:rsidP="00C022B8">
            <w:pPr>
              <w:pStyle w:val="BodyText"/>
              <w:rPr>
                <w:lang w:val="en-NZ"/>
              </w:rPr>
            </w:pPr>
            <w:r w:rsidRPr="00C022B8">
              <w:t>Information represented in symbols, diagrams and pictorial representations is recognised</w:t>
            </w:r>
          </w:p>
        </w:tc>
      </w:tr>
      <w:tr w:rsidTr="00685C7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022B8">
            <w:pPr>
              <w:pStyle w:val="BodyText"/>
              <w:rPr>
                <w:lang w:val="en-NZ"/>
              </w:rPr>
            </w:pPr>
            <w:r w:rsidRPr="00C022B8">
              <w:t>4.2</w:t>
            </w:r>
          </w:p>
        </w:tc>
        <w:tc>
          <w:tcPr>
            <w:tcW w:w="6045" w:type="dxa"/>
            <w:tcBorders>
              <w:top w:val="nil"/>
              <w:left w:val="nil"/>
              <w:bottom w:val="nil"/>
              <w:right w:val="nil"/>
            </w:tcBorders>
            <w:tcMar>
              <w:top w:w="0" w:type="dxa"/>
              <w:left w:w="62" w:type="dxa"/>
              <w:bottom w:w="0" w:type="dxa"/>
              <w:right w:w="62" w:type="dxa"/>
            </w:tcMar>
          </w:tcPr>
          <w:p w:rsidR="00000000" w:rsidRPr="00C022B8" w:rsidP="00C022B8">
            <w:pPr>
              <w:pStyle w:val="BodyText"/>
            </w:pPr>
            <w:r w:rsidRPr="00C022B8">
              <w:t>Recognised information represented in symbols, diagrams and pictorial representations is interpreted and acted upon</w:t>
            </w:r>
          </w:p>
        </w:tc>
      </w:tr>
    </w:tbl>
    <w:p w:rsidR="00685C74" w:rsidP="00C022B8">
      <w:pPr>
        <w:pStyle w:val="BodyText"/>
      </w:pPr>
    </w:p>
    <w:p w:rsidR="00685C74" w:rsidP="00C022B8">
      <w:pPr>
        <w:pStyle w:val="BodyText"/>
      </w:pPr>
    </w:p>
    <w:p w:rsidR="00000000" w:rsidRPr="00C022B8" w:rsidP="00C022B8">
      <w:pPr>
        <w:pStyle w:val="Heading1"/>
      </w:pPr>
      <w:bookmarkStart w:id="7" w:name="O_844518"/>
      <w:bookmarkEnd w:id="7"/>
      <w:r w:rsidRPr="00C022B8">
        <w:t>Foundation Skills</w:t>
      </w:r>
    </w:p>
    <w:p w:rsidR="00685C74" w:rsidP="00685C74">
      <w:pPr>
        <w:pStyle w:val="BodyText"/>
      </w:pPr>
      <w:r w:rsidRPr="00C022B8">
        <w:t>Foundation skills essential to performance are explicit in the performance criteria of this unit of competency.</w:t>
      </w:r>
    </w:p>
    <w:p w:rsidR="00000000" w:rsidRPr="00C022B8" w:rsidP="00C022B8">
      <w:pPr>
        <w:pStyle w:val="Heading1"/>
      </w:pPr>
      <w:bookmarkStart w:id="8" w:name="O_844519"/>
      <w:bookmarkEnd w:id="8"/>
      <w:r w:rsidRPr="00C022B8">
        <w:t>Range of Conditions</w:t>
      </w:r>
    </w:p>
    <w:p w:rsidR="00000000" w:rsidRPr="00C022B8" w:rsidP="00685C74">
      <w:pPr>
        <w:pStyle w:val="BodyText"/>
      </w:pPr>
      <w:r w:rsidRPr="00C022B8">
        <w:t>Range is restricted to essential operating conditions and any other variables essential to the work enviro</w:t>
      </w:r>
      <w:r w:rsidRPr="00C022B8">
        <w:t>nment.</w:t>
      </w:r>
    </w:p>
    <w:p w:rsidR="00685C74" w:rsidP="00685C74">
      <w:pPr>
        <w:pStyle w:val="BodyText"/>
      </w:pPr>
      <w:r w:rsidRPr="00C022B8">
        <w:t>Non-essential conditions can be found in the Companion Volume Implementation Guide.</w:t>
      </w:r>
    </w:p>
    <w:p w:rsidR="00000000" w:rsidRPr="00C022B8" w:rsidP="00C022B8">
      <w:pPr>
        <w:pStyle w:val="Heading1"/>
      </w:pPr>
      <w:bookmarkStart w:id="9" w:name="O_844520"/>
      <w:bookmarkEnd w:id="9"/>
      <w:r w:rsidRPr="00C022B8">
        <w:t>Unit Mapping Information</w:t>
      </w:r>
    </w:p>
    <w:p w:rsidR="00685C74" w:rsidP="00685C74">
      <w:pPr>
        <w:pStyle w:val="BodyText"/>
      </w:pPr>
      <w:r w:rsidRPr="00C022B8">
        <w:t>This unit replaces and is equivalent to TLIE3026A Carry out advanced calculations in the transport logistics industry.</w:t>
      </w:r>
    </w:p>
    <w:p w:rsidR="00000000" w:rsidRPr="00C022B8" w:rsidP="00C022B8">
      <w:pPr>
        <w:pStyle w:val="Heading1"/>
      </w:pPr>
      <w:bookmarkStart w:id="10" w:name="O_844527"/>
      <w:bookmarkEnd w:id="10"/>
      <w:r w:rsidRPr="00C022B8">
        <w:t>Links</w:t>
      </w:r>
    </w:p>
    <w:p w:rsidR="00000000" w:rsidRPr="00C022B8" w:rsidP="00685C74">
      <w:pPr>
        <w:pStyle w:val="BodyText"/>
      </w:pPr>
      <w:r w:rsidRPr="00C022B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87A61">
        <w:rPr>
          <w:rStyle w:val="Hyperlink"/>
        </w:rPr>
        <w:t>https://vetnet.gov.au/Pages/TrainingDocs.aspx?q=df441c6e-213d-43e3-874c-0b3f7036d851</w:t>
      </w:r>
      <w:r>
        <w:fldChar w:fldCharType="end"/>
      </w:r>
    </w:p>
    <w:p w:rsidR="00000000" w:rsidRPr="00C022B8" w:rsidP="00685C74">
      <w:pPr>
        <w:pStyle w:val="BodyText"/>
        <w:sectPr w:rsidSect="00C022B8">
          <w:headerReference w:type="default" r:id="rId10"/>
          <w:footerReference w:type="default" r:id="rId11"/>
          <w:pgSz w:w="11908" w:h="16833"/>
          <w:pgMar w:top="1702" w:right="1418" w:bottom="1702" w:left="1418" w:header="992" w:footer="992" w:gutter="0"/>
          <w:cols w:space="720"/>
          <w:noEndnote/>
          <w:docGrid w:linePitch="299"/>
        </w:sectPr>
      </w:pPr>
    </w:p>
    <w:p w:rsidR="00000000" w:rsidRPr="00C022B8" w:rsidP="00C022B8">
      <w:pPr>
        <w:pStyle w:val="SuperHeading"/>
      </w:pPr>
      <w:r w:rsidRPr="00C022B8">
        <w:t xml:space="preserve">Assessment </w:t>
      </w:r>
      <w:r w:rsidRPr="00C022B8">
        <w:t>Requirements for TLIE3026 Carry out advanced calculations in the transport and logistics industry</w:t>
      </w:r>
    </w:p>
    <w:p w:rsidR="00000000" w:rsidRPr="00C022B8" w:rsidP="00C022B8">
      <w:pPr>
        <w:pStyle w:val="Heading1"/>
      </w:pPr>
      <w:bookmarkStart w:id="11" w:name="O_844522"/>
      <w:bookmarkEnd w:id="11"/>
      <w:r w:rsidRPr="00C022B8">
        <w:t>Modification History</w:t>
      </w:r>
    </w:p>
    <w:p w:rsidR="00685C74" w:rsidP="00685C74">
      <w:pPr>
        <w:pStyle w:val="BodyText"/>
      </w:pPr>
      <w:r w:rsidRPr="00C022B8">
        <w:t>Release 1. This is the first release of this unit of competency in the TLI Transport and Logistics Training Package.</w:t>
      </w:r>
    </w:p>
    <w:p w:rsidR="00000000" w:rsidRPr="00C022B8" w:rsidP="00C022B8">
      <w:pPr>
        <w:pStyle w:val="Heading1"/>
      </w:pPr>
      <w:bookmarkStart w:id="12" w:name="O_844523"/>
      <w:bookmarkEnd w:id="12"/>
      <w:r w:rsidRPr="00C022B8">
        <w:t>Performance Evidence</w:t>
      </w:r>
    </w:p>
    <w:tbl>
      <w:tblPr>
        <w:tblW w:w="9498" w:type="dxa"/>
        <w:tblLayout w:type="fixed"/>
        <w:tblCellMar>
          <w:left w:w="62" w:type="dxa"/>
          <w:right w:w="62" w:type="dxa"/>
        </w:tblCellMar>
        <w:tblLook w:val="0000"/>
      </w:tblPr>
      <w:tblGrid>
        <w:gridCol w:w="9498"/>
      </w:tblGrid>
      <w:tr w:rsidTr="00C022B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C022B8">
            <w:pPr>
              <w:pStyle w:val="BodyText"/>
              <w:rPr>
                <w:lang w:val="en-NZ"/>
              </w:rPr>
            </w:pPr>
            <w:r w:rsidRPr="00C022B8">
              <w:t>Evidence required to demonstrate competence in this unit must be relevant to and satisfy all of the requirements of the elements and performance criteria on at least one occasion and include:</w:t>
            </w:r>
          </w:p>
        </w:tc>
      </w:tr>
      <w:tr w:rsidTr="00C022B8">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C022B8" w:rsidP="00C022B8">
            <w:pPr>
              <w:pStyle w:val="ListBullet"/>
            </w:pPr>
            <w:r w:rsidRPr="00C022B8">
              <w:t xml:space="preserve">calculating load limit </w:t>
            </w:r>
          </w:p>
          <w:p w:rsidR="00000000" w:rsidRPr="00C022B8" w:rsidP="00C022B8">
            <w:pPr>
              <w:pStyle w:val="ListBullet"/>
            </w:pPr>
            <w:r w:rsidRPr="00C022B8">
              <w:t>calculating mass and dimension of work function for job role using fractions, percentages and mixed numbers</w:t>
            </w:r>
          </w:p>
          <w:p w:rsidR="00000000" w:rsidRPr="00C022B8" w:rsidP="00C022B8">
            <w:pPr>
              <w:pStyle w:val="ListBullet"/>
            </w:pPr>
            <w:r w:rsidRPr="00C022B8">
              <w:t>completing documentation relating to work activities</w:t>
            </w:r>
          </w:p>
          <w:p w:rsidR="00000000" w:rsidRPr="00C022B8" w:rsidP="00C022B8">
            <w:pPr>
              <w:pStyle w:val="ListBullet"/>
            </w:pPr>
            <w:r w:rsidRPr="00C022B8">
              <w:t>estimating working load limits</w:t>
            </w:r>
          </w:p>
          <w:p w:rsidR="00000000" w:rsidRPr="00C022B8" w:rsidP="00C022B8">
            <w:pPr>
              <w:pStyle w:val="ListBullet"/>
            </w:pPr>
            <w:r w:rsidRPr="00C022B8">
              <w:t xml:space="preserve">interpreting and analysing a workplace mathematical symbol </w:t>
            </w:r>
          </w:p>
          <w:p w:rsidR="00000000" w:rsidRPr="00C022B8" w:rsidP="00C022B8">
            <w:pPr>
              <w:pStyle w:val="ListBullet"/>
            </w:pPr>
            <w:r w:rsidRPr="00C022B8">
              <w:t>inte</w:t>
            </w:r>
            <w:r w:rsidRPr="00C022B8">
              <w:t>rpreting and following operational instructions and prioritising work</w:t>
            </w:r>
          </w:p>
          <w:p w:rsidR="00000000" w:rsidRPr="00C022B8" w:rsidP="00C022B8">
            <w:pPr>
              <w:pStyle w:val="ListBullet"/>
            </w:pPr>
            <w:r w:rsidRPr="00C022B8">
              <w:t xml:space="preserve">making accurate estimates in a range of situations </w:t>
            </w:r>
          </w:p>
          <w:p w:rsidR="00000000" w:rsidRPr="00C022B8" w:rsidP="00C022B8">
            <w:pPr>
              <w:pStyle w:val="ListBullet"/>
            </w:pPr>
            <w:r w:rsidRPr="00C022B8">
              <w:t>modifying activities depending on operational contingencies and environments</w:t>
            </w:r>
          </w:p>
          <w:p w:rsidR="00000000" w:rsidRPr="00C022B8" w:rsidP="00C022B8">
            <w:pPr>
              <w:pStyle w:val="ListBullet"/>
            </w:pPr>
            <w:r w:rsidRPr="00C022B8">
              <w:t>operating and adapting to differences in equipment in acc</w:t>
            </w:r>
            <w:r w:rsidRPr="00C022B8">
              <w:t>ordance with operating procedures</w:t>
            </w:r>
          </w:p>
          <w:p w:rsidR="00000000" w:rsidRPr="00C022B8" w:rsidP="00C022B8">
            <w:pPr>
              <w:pStyle w:val="ListBullet"/>
            </w:pPr>
            <w:r w:rsidRPr="00C022B8">
              <w:t>reading complex dials and indicators, non-standard units of measurement, metric and imperial unit conversion, more advanced time estimates</w:t>
            </w:r>
          </w:p>
          <w:p w:rsidR="00000000" w:rsidRPr="00C022B8" w:rsidP="00C022B8">
            <w:pPr>
              <w:pStyle w:val="ListBullet"/>
            </w:pPr>
            <w:r w:rsidRPr="00C022B8">
              <w:t>reading complex legislative and regulatory requirements</w:t>
            </w:r>
          </w:p>
          <w:p w:rsidR="00000000" w:rsidRPr="00C022B8" w:rsidP="00C022B8">
            <w:pPr>
              <w:pStyle w:val="ListBullet"/>
            </w:pPr>
            <w:r w:rsidRPr="00C022B8">
              <w:t>using multiple pieces of ma</w:t>
            </w:r>
            <w:r w:rsidRPr="00C022B8">
              <w:t>thematical information to perform complex mathematical processes</w:t>
            </w:r>
          </w:p>
          <w:p w:rsidR="00000000" w:rsidRPr="00C022B8" w:rsidP="00C022B8">
            <w:pPr>
              <w:pStyle w:val="ListBullet"/>
            </w:pPr>
            <w:r w:rsidRPr="00C022B8">
              <w:t>using ratios and proportion, and applying rates</w:t>
            </w:r>
          </w:p>
          <w:p w:rsidR="00000000" w:rsidRPr="00C022B8" w:rsidP="00C022B8">
            <w:pPr>
              <w:pStyle w:val="ListBullet"/>
            </w:pPr>
            <w:r w:rsidRPr="00C022B8">
              <w:t xml:space="preserve">working collaboratively with others </w:t>
            </w:r>
          </w:p>
          <w:p w:rsidR="00000000" w:rsidRPr="00C022B8" w:rsidP="00C022B8">
            <w:pPr>
              <w:pStyle w:val="ListBullet"/>
            </w:pPr>
            <w:r w:rsidRPr="00C022B8">
              <w:t>working systematically with required attention to detail.</w:t>
            </w:r>
          </w:p>
        </w:tc>
      </w:tr>
    </w:tbl>
    <w:p w:rsidR="00685C74" w:rsidP="00C022B8">
      <w:pPr>
        <w:pStyle w:val="BodyText"/>
      </w:pPr>
    </w:p>
    <w:p w:rsidR="00685C74" w:rsidP="00C022B8">
      <w:pPr>
        <w:pStyle w:val="BodyText"/>
      </w:pPr>
    </w:p>
    <w:p w:rsidR="00000000" w:rsidRPr="00C022B8" w:rsidP="00C022B8">
      <w:pPr>
        <w:pStyle w:val="Heading1"/>
      </w:pPr>
      <w:bookmarkStart w:id="13" w:name="O_844524"/>
      <w:bookmarkEnd w:id="13"/>
      <w:r w:rsidRPr="00C022B8">
        <w:t>Knowledge Evidence</w:t>
      </w:r>
    </w:p>
    <w:tbl>
      <w:tblPr>
        <w:tblW w:w="9498" w:type="dxa"/>
        <w:tblLayout w:type="fixed"/>
        <w:tblCellMar>
          <w:left w:w="62" w:type="dxa"/>
          <w:right w:w="62" w:type="dxa"/>
        </w:tblCellMar>
        <w:tblLook w:val="0000"/>
      </w:tblPr>
      <w:tblGrid>
        <w:gridCol w:w="9498"/>
      </w:tblGrid>
      <w:tr w:rsidTr="00C022B8">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C022B8">
            <w:pPr>
              <w:pStyle w:val="BodyText"/>
              <w:rPr>
                <w:lang w:val="en-NZ"/>
              </w:rPr>
            </w:pPr>
            <w:r w:rsidRPr="00C022B8">
              <w:t>Evidence required to demonstrate competence in this unit must be relevant to and satisfy all of the requirements of the elements and performance criteria and include knowledge of:</w:t>
            </w:r>
          </w:p>
        </w:tc>
      </w:tr>
      <w:tr w:rsidTr="00C022B8">
        <w:tblPrEx>
          <w:tblW w:w="9498" w:type="dxa"/>
          <w:tblLayout w:type="fixed"/>
          <w:tblCellMar>
            <w:left w:w="62" w:type="dxa"/>
            <w:right w:w="62" w:type="dxa"/>
          </w:tblCellMar>
          <w:tblLook w:val="0000"/>
        </w:tblPrEx>
        <w:trPr>
          <w:trHeight w:val="142"/>
        </w:trPr>
        <w:tc>
          <w:tcPr>
            <w:tcW w:w="9498" w:type="dxa"/>
            <w:tcBorders>
              <w:top w:val="nil"/>
              <w:left w:val="nil"/>
              <w:bottom w:val="nil"/>
              <w:right w:val="nil"/>
            </w:tcBorders>
            <w:tcMar>
              <w:top w:w="0" w:type="dxa"/>
              <w:left w:w="62" w:type="dxa"/>
              <w:bottom w:w="0" w:type="dxa"/>
              <w:right w:w="62" w:type="dxa"/>
            </w:tcMar>
          </w:tcPr>
          <w:p w:rsidR="00000000" w:rsidRPr="00C022B8" w:rsidP="00C022B8">
            <w:pPr>
              <w:pStyle w:val="ListBullet"/>
            </w:pPr>
            <w:r w:rsidRPr="00C022B8">
              <w:t>accurate estimates including:</w:t>
            </w:r>
          </w:p>
          <w:p w:rsidR="00000000" w:rsidRPr="00C022B8" w:rsidP="00C022B8">
            <w:pPr>
              <w:pStyle w:val="ListBullet2"/>
            </w:pPr>
            <w:r w:rsidRPr="00C022B8">
              <w:t>damage</w:t>
            </w:r>
          </w:p>
          <w:p w:rsidR="00000000" w:rsidRPr="00C022B8" w:rsidP="00C022B8">
            <w:pPr>
              <w:pStyle w:val="ListBullet2"/>
            </w:pPr>
            <w:r w:rsidRPr="00C022B8">
              <w:t>gradient</w:t>
            </w:r>
          </w:p>
          <w:p w:rsidR="00000000" w:rsidRPr="00C022B8" w:rsidP="00C022B8">
            <w:pPr>
              <w:pStyle w:val="ListBullet2"/>
            </w:pPr>
            <w:r w:rsidRPr="00C022B8">
              <w:t>included angles</w:t>
            </w:r>
          </w:p>
          <w:p w:rsidR="00000000" w:rsidRPr="00C022B8" w:rsidP="00C022B8">
            <w:pPr>
              <w:pStyle w:val="ListBullet2"/>
            </w:pPr>
            <w:r w:rsidRPr="00C022B8">
              <w:t>mechanical advantage</w:t>
            </w:r>
          </w:p>
          <w:p w:rsidR="00000000" w:rsidRPr="00C022B8" w:rsidP="00C022B8">
            <w:pPr>
              <w:pStyle w:val="ListBullet2"/>
            </w:pPr>
            <w:r w:rsidRPr="00C022B8">
              <w:t>potential snapping path</w:t>
            </w:r>
          </w:p>
          <w:p w:rsidR="00000000" w:rsidRPr="00C022B8" w:rsidP="00C022B8">
            <w:pPr>
              <w:pStyle w:val="ListBullet2"/>
            </w:pPr>
            <w:r w:rsidRPr="00C022B8">
              <w:t xml:space="preserve">resistance </w:t>
            </w:r>
          </w:p>
          <w:p w:rsidR="00000000" w:rsidRPr="00C022B8" w:rsidP="00C022B8">
            <w:pPr>
              <w:pStyle w:val="ListBullet2"/>
            </w:pPr>
            <w:r w:rsidRPr="00C022B8">
              <w:t xml:space="preserve">rolling </w:t>
            </w:r>
          </w:p>
          <w:p w:rsidR="00000000" w:rsidRPr="00C022B8" w:rsidP="00C022B8">
            <w:pPr>
              <w:pStyle w:val="ListBullet"/>
            </w:pPr>
            <w:r w:rsidRPr="00C022B8">
              <w:t>advanced mathematical operations and techniques</w:t>
            </w:r>
          </w:p>
          <w:p w:rsidR="00000000" w:rsidRPr="00C022B8" w:rsidP="00C022B8">
            <w:pPr>
              <w:pStyle w:val="ListBullet"/>
            </w:pPr>
            <w:r w:rsidRPr="00C022B8">
              <w:t>advanced mathematical problems, and appropriate action and solutions</w:t>
            </w:r>
          </w:p>
          <w:p w:rsidR="00000000" w:rsidRPr="00C022B8" w:rsidP="00C022B8">
            <w:pPr>
              <w:pStyle w:val="ListBullet"/>
            </w:pPr>
            <w:r w:rsidRPr="00C022B8">
              <w:t>brackets, order, divide, multiply, add, subtract (BODMAS)</w:t>
            </w:r>
          </w:p>
          <w:p w:rsidR="00000000" w:rsidRPr="00C022B8" w:rsidP="00C022B8">
            <w:pPr>
              <w:pStyle w:val="ListBullet"/>
            </w:pPr>
            <w:r w:rsidRPr="00C022B8">
              <w:t>complex numeracy around job functions in transport and logistics</w:t>
            </w:r>
          </w:p>
          <w:p w:rsidR="00000000" w:rsidRPr="00C022B8" w:rsidP="00C022B8">
            <w:pPr>
              <w:pStyle w:val="ListBullet"/>
            </w:pPr>
            <w:r w:rsidRPr="00C022B8">
              <w:t>four basic calculations processes:</w:t>
            </w:r>
          </w:p>
          <w:p w:rsidR="00000000" w:rsidRPr="00C022B8" w:rsidP="00C022B8">
            <w:pPr>
              <w:pStyle w:val="ListBullet2"/>
            </w:pPr>
            <w:r w:rsidRPr="00C022B8">
              <w:t>addition</w:t>
            </w:r>
          </w:p>
          <w:p w:rsidR="00000000" w:rsidRPr="00C022B8" w:rsidP="00C022B8">
            <w:pPr>
              <w:pStyle w:val="ListBullet2"/>
            </w:pPr>
            <w:r w:rsidRPr="00C022B8">
              <w:t>division</w:t>
            </w:r>
          </w:p>
          <w:p w:rsidR="00000000" w:rsidRPr="00C022B8" w:rsidP="00C022B8">
            <w:pPr>
              <w:pStyle w:val="ListBullet2"/>
            </w:pPr>
            <w:r w:rsidRPr="00C022B8">
              <w:t>multiplication</w:t>
            </w:r>
          </w:p>
          <w:p w:rsidR="00000000" w:rsidRPr="00C022B8" w:rsidP="00C022B8">
            <w:pPr>
              <w:pStyle w:val="ListBullet2"/>
            </w:pPr>
            <w:r w:rsidRPr="00C022B8">
              <w:t>subtraction</w:t>
            </w:r>
          </w:p>
          <w:p w:rsidR="00000000" w:rsidRPr="00C022B8" w:rsidP="00C022B8">
            <w:pPr>
              <w:pStyle w:val="ListBullet"/>
            </w:pPr>
            <w:r w:rsidRPr="00C022B8">
              <w:t>methods of representing advanced and complex mathematical information from data collected</w:t>
            </w:r>
          </w:p>
          <w:p w:rsidR="00000000" w:rsidRPr="00C022B8" w:rsidP="00C022B8">
            <w:pPr>
              <w:pStyle w:val="ListBullet"/>
            </w:pPr>
            <w:r w:rsidRPr="00C022B8">
              <w:t>procedures for iden</w:t>
            </w:r>
            <w:r w:rsidRPr="00C022B8">
              <w:t>tifying and using relevant workplace technology when carrying out workplace calculations</w:t>
            </w:r>
          </w:p>
          <w:p w:rsidR="00000000" w:rsidRPr="00C022B8" w:rsidP="00C022B8">
            <w:pPr>
              <w:pStyle w:val="ListBullet"/>
            </w:pPr>
            <w:r w:rsidRPr="00C022B8">
              <w:t>relevant work health and safety (WHS)/occupational health and safety (OHS) responsibilities</w:t>
            </w:r>
          </w:p>
          <w:p w:rsidR="00000000" w:rsidRPr="00C022B8" w:rsidP="00C022B8">
            <w:pPr>
              <w:pStyle w:val="ListBullet"/>
            </w:pPr>
            <w:r w:rsidRPr="00C022B8">
              <w:t>symbols, diagrams and pictorial representations including:</w:t>
            </w:r>
          </w:p>
          <w:p w:rsidR="00000000" w:rsidRPr="00C022B8" w:rsidP="00C022B8">
            <w:pPr>
              <w:pStyle w:val="ListBullet2"/>
            </w:pPr>
            <w:r w:rsidRPr="00C022B8">
              <w:t>graphic representation within transport and logistics operations</w:t>
            </w:r>
          </w:p>
          <w:p w:rsidR="00000000" w:rsidRPr="00C022B8" w:rsidP="00C022B8">
            <w:pPr>
              <w:pStyle w:val="ListBullet2"/>
            </w:pPr>
            <w:r w:rsidRPr="00C022B8">
              <w:t>pie charts</w:t>
            </w:r>
          </w:p>
          <w:p w:rsidR="00000000" w:rsidRPr="00C022B8" w:rsidP="00C022B8">
            <w:pPr>
              <w:pStyle w:val="ListBullet2"/>
            </w:pPr>
            <w:r w:rsidRPr="00C022B8">
              <w:t>spreadsheets</w:t>
            </w:r>
          </w:p>
          <w:p w:rsidR="00000000" w:rsidRPr="00C022B8" w:rsidP="00C022B8">
            <w:pPr>
              <w:pStyle w:val="ListBullet"/>
            </w:pPr>
            <w:r w:rsidRPr="00C022B8">
              <w:t>working load limits (WLL) and safe working limits (SWL) including</w:t>
            </w:r>
            <w:r w:rsidRPr="00C022B8">
              <w:rPr>
                <w:rStyle w:val="SpecialBold"/>
              </w:rPr>
              <w:t>:</w:t>
            </w:r>
          </w:p>
          <w:p w:rsidR="00000000" w:rsidRPr="00C022B8" w:rsidP="00C022B8">
            <w:pPr>
              <w:pStyle w:val="ListBullet2"/>
            </w:pPr>
            <w:r w:rsidRPr="00C022B8">
              <w:t>air cushion (shock absorber that uses an air chamber)</w:t>
            </w:r>
          </w:p>
          <w:p w:rsidR="00000000" w:rsidRPr="00C022B8" w:rsidP="00C022B8">
            <w:pPr>
              <w:pStyle w:val="ListBullet2"/>
            </w:pPr>
            <w:r w:rsidRPr="00C022B8">
              <w:t xml:space="preserve">force (leverage) </w:t>
            </w:r>
          </w:p>
          <w:p w:rsidR="00000000" w:rsidRPr="00C022B8" w:rsidP="00C022B8">
            <w:pPr>
              <w:pStyle w:val="ListBullet2"/>
            </w:pPr>
            <w:r w:rsidRPr="00C022B8">
              <w:t>horizontal winch pull</w:t>
            </w:r>
          </w:p>
          <w:p w:rsidR="00000000" w:rsidRPr="00C022B8" w:rsidP="00C022B8">
            <w:pPr>
              <w:pStyle w:val="ListBullet2"/>
            </w:pPr>
            <w:r w:rsidRPr="00C022B8">
              <w:t>mass</w:t>
            </w:r>
          </w:p>
          <w:p w:rsidR="00000000" w:rsidRPr="00C022B8" w:rsidP="00C022B8">
            <w:pPr>
              <w:pStyle w:val="ListBullet2"/>
            </w:pPr>
            <w:r w:rsidRPr="00C022B8">
              <w:t>vertical winch pull</w:t>
            </w:r>
          </w:p>
          <w:p w:rsidR="00000000" w:rsidRPr="00C022B8" w:rsidP="00C022B8">
            <w:pPr>
              <w:pStyle w:val="ListBullet2"/>
            </w:pPr>
            <w:r w:rsidRPr="00C022B8">
              <w:t>winch pull (leverage) required for recovery.</w:t>
            </w:r>
          </w:p>
        </w:tc>
      </w:tr>
    </w:tbl>
    <w:p w:rsidR="00685C74" w:rsidP="00C022B8">
      <w:pPr>
        <w:pStyle w:val="BodyText"/>
      </w:pPr>
    </w:p>
    <w:p w:rsidR="00685C74" w:rsidP="00C022B8">
      <w:pPr>
        <w:pStyle w:val="BodyText"/>
      </w:pPr>
    </w:p>
    <w:p w:rsidR="00000000" w:rsidRPr="00C022B8" w:rsidP="00C022B8">
      <w:pPr>
        <w:pStyle w:val="Heading1"/>
      </w:pPr>
      <w:bookmarkStart w:id="14" w:name="O_844525"/>
      <w:bookmarkEnd w:id="14"/>
      <w:r w:rsidRPr="00C022B8">
        <w:t>Assessment Conditions</w:t>
      </w:r>
    </w:p>
    <w:tbl>
      <w:tblPr>
        <w:tblW w:w="9498" w:type="dxa"/>
        <w:tblLayout w:type="fixed"/>
        <w:tblCellMar>
          <w:left w:w="62" w:type="dxa"/>
          <w:right w:w="62" w:type="dxa"/>
        </w:tblCellMar>
        <w:tblLook w:val="0000"/>
      </w:tblPr>
      <w:tblGrid>
        <w:gridCol w:w="9498"/>
      </w:tblGrid>
      <w:tr w:rsidTr="00C022B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022B8" w:rsidP="00C022B8">
            <w:pPr>
              <w:pStyle w:val="BodyText"/>
            </w:pPr>
            <w:r w:rsidRPr="00C022B8">
              <w:t xml:space="preserve">As a minimum, assessors must satisfy applicable regulatory requirements, which include requirements in the </w:t>
            </w:r>
            <w:r w:rsidRPr="00C022B8">
              <w:rPr>
                <w:rStyle w:val="Emphasis"/>
              </w:rPr>
              <w:t>Standards for Registered Training Organisations</w:t>
            </w:r>
            <w:r w:rsidRPr="00C022B8">
              <w:t xml:space="preserve"> current at the time of assessment. </w:t>
            </w:r>
          </w:p>
          <w:p w:rsidR="00000000" w:rsidRPr="00C022B8" w:rsidP="00C022B8">
            <w:pPr>
              <w:pStyle w:val="BodyText"/>
            </w:pPr>
            <w:r w:rsidRPr="00C022B8">
              <w:t xml:space="preserve">As a minimum, assessment must satisfy applicable regulatory requirements, which include requirements in the </w:t>
            </w:r>
            <w:r w:rsidRPr="00C022B8">
              <w:rPr>
                <w:rStyle w:val="Emphasis"/>
              </w:rPr>
              <w:t>Standards for Registered Training Organisations</w:t>
            </w:r>
            <w:r w:rsidRPr="00C022B8">
              <w:t xml:space="preserve"> current at the t</w:t>
            </w:r>
            <w:r w:rsidRPr="00C022B8">
              <w:t>ime of assessment.</w:t>
            </w:r>
          </w:p>
          <w:p w:rsidR="00000000" w:rsidRPr="00C022B8" w:rsidP="00C022B8">
            <w:pPr>
              <w:pStyle w:val="BodyText"/>
            </w:pPr>
            <w:r w:rsidRPr="00C022B8">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C022B8" w:rsidP="00C022B8">
            <w:pPr>
              <w:pStyle w:val="BodyText"/>
            </w:pPr>
            <w:r w:rsidRPr="00C022B8">
              <w:t>Assessme</w:t>
            </w:r>
            <w:r w:rsidRPr="00C022B8">
              <w:t>nt processes and techniques must be appropriate to the language, literacy and numeracy requirements of the work being performed and the needs of the candidate.</w:t>
            </w:r>
          </w:p>
          <w:p w:rsidR="00000000" w:rsidRPr="00C022B8" w:rsidP="00C022B8">
            <w:pPr>
              <w:pStyle w:val="BodyText"/>
            </w:pPr>
            <w:r w:rsidRPr="00C022B8">
              <w:t>Resources for assessment include:</w:t>
            </w:r>
          </w:p>
          <w:p w:rsidR="00000000" w:rsidRPr="00C022B8" w:rsidP="00C022B8">
            <w:pPr>
              <w:pStyle w:val="ListBullet"/>
            </w:pPr>
            <w:r w:rsidRPr="00C022B8">
              <w:t>a range of relevant exercises, case studies and/or simulation</w:t>
            </w:r>
            <w:r w:rsidRPr="00C022B8">
              <w:t>s</w:t>
            </w:r>
          </w:p>
          <w:p w:rsidR="00000000" w:rsidRPr="00C022B8" w:rsidP="00C022B8">
            <w:pPr>
              <w:pStyle w:val="ListBullet"/>
            </w:pPr>
            <w:r w:rsidRPr="00C022B8">
              <w:t xml:space="preserve">applicable documentation including workplace procedures, regulations, codes of practice and operation manuals </w:t>
            </w:r>
          </w:p>
          <w:p w:rsidR="00000000" w:rsidRPr="00C022B8" w:rsidP="00C022B8">
            <w:pPr>
              <w:pStyle w:val="ListBullet"/>
            </w:pPr>
            <w:r w:rsidRPr="00C022B8">
              <w:t>relevant materials, tools, equipment and personal protective equipment currently used in industry.</w:t>
            </w:r>
          </w:p>
        </w:tc>
      </w:tr>
    </w:tbl>
    <w:p w:rsidR="00685C74" w:rsidP="00C022B8">
      <w:pPr>
        <w:pStyle w:val="BodyText"/>
      </w:pPr>
    </w:p>
    <w:p w:rsidR="00685C74" w:rsidP="00C022B8">
      <w:pPr>
        <w:pStyle w:val="BodyText"/>
      </w:pPr>
    </w:p>
    <w:p w:rsidR="00000000" w:rsidRPr="00C022B8" w:rsidP="00C022B8">
      <w:pPr>
        <w:pStyle w:val="Heading1"/>
      </w:pPr>
      <w:bookmarkStart w:id="15" w:name="O_844528"/>
      <w:bookmarkEnd w:id="15"/>
      <w:r w:rsidRPr="00C022B8">
        <w:t>Links</w:t>
      </w:r>
    </w:p>
    <w:p w:rsidR="00000000" w:rsidRPr="00C022B8" w:rsidP="00685C74">
      <w:pPr>
        <w:pStyle w:val="BodyText"/>
      </w:pPr>
      <w:r w:rsidRPr="00C022B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87A61">
        <w:rPr>
          <w:rStyle w:val="Hyperlink"/>
        </w:rPr>
        <w:t>https://vetnet.gov.au/Pages/TrainingDocs.aspx?q=df441c6e-213d-43e3-874c-0b3f7036d851</w:t>
      </w:r>
      <w:r>
        <w:fldChar w:fldCharType="end"/>
      </w:r>
    </w:p>
    <w:p w:rsidR="00000000" w:rsidRPr="00C022B8" w:rsidP="00C022B8"/>
    <w:sectPr w:rsidSect="00C022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2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2B8" w:rsidRPr="00685C74" w:rsidP="00685C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2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C74" w:rsidP="00C022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85C74" w:rsidP="00C022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85C74" w:rsidP="00C022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2B8" w:rsidP="00C022B8">
    <w:pPr>
      <w:pStyle w:val="Footer"/>
      <w:framePr w:wrap="around"/>
    </w:pPr>
    <w:r>
      <w:fldChar w:fldCharType="begin"/>
    </w:r>
    <w:r>
      <w:instrText xml:space="preserve"> DOCPROPERTY  Subject  \* MERGEFORMAT </w:instrText>
    </w:r>
    <w:r>
      <w:fldChar w:fldCharType="separate"/>
    </w:r>
    <w:r w:rsidR="00685C74">
      <w:t>Approved</w:t>
    </w:r>
    <w:r w:rsidR="00685C74">
      <w:fldChar w:fldCharType="end"/>
    </w:r>
    <w:r>
      <w:tab/>
      <w:t xml:space="preserve">Page </w:t>
    </w:r>
    <w:r>
      <w:fldChar w:fldCharType="begin"/>
    </w:r>
    <w:r>
      <w:instrText xml:space="preserve"> PAGE  \* Arabic  \* MERGEFORMAT </w:instrText>
    </w:r>
    <w:r>
      <w:fldChar w:fldCharType="separate"/>
    </w:r>
    <w:r w:rsidR="00685C7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5C74">
      <w:rPr>
        <w:noProof/>
      </w:rPr>
      <w:t>5</w:t>
    </w:r>
    <w:r>
      <w:rPr>
        <w:noProof/>
      </w:rPr>
      <w:fldChar w:fldCharType="end"/>
    </w:r>
  </w:p>
  <w:p w:rsidR="00C022B8" w:rsidP="00C022B8">
    <w:pPr>
      <w:pStyle w:val="Footer"/>
      <w:framePr w:wrap="around"/>
    </w:pPr>
    <w:r>
      <w:t xml:space="preserve">© Commonwealth of Australia, </w:t>
    </w:r>
    <w:r>
      <w:fldChar w:fldCharType="begin"/>
    </w:r>
    <w:r>
      <w:instrText xml:space="preserve"> DATE  \@ "yyyy"  \* MERGEFORMAT </w:instrText>
    </w:r>
    <w:r>
      <w:fldChar w:fldCharType="separate"/>
    </w:r>
    <w:r w:rsidR="00685C74">
      <w:rPr>
        <w:noProof/>
      </w:rPr>
      <w:t>2025</w:t>
    </w:r>
    <w:r>
      <w:fldChar w:fldCharType="end"/>
    </w:r>
    <w:r>
      <w:tab/>
    </w:r>
    <w:r>
      <w:fldChar w:fldCharType="begin"/>
    </w:r>
    <w:r>
      <w:instrText xml:space="preserve"> DOCPROPERTY  Author  \* MERGEFORMAT </w:instrText>
    </w:r>
    <w:r>
      <w:fldChar w:fldCharType="separate"/>
    </w:r>
    <w:r w:rsidR="00685C74">
      <w:t>Industry Skills Australia</w:t>
    </w:r>
    <w:r w:rsidR="00685C74">
      <w:fldChar w:fldCharType="end"/>
    </w:r>
  </w:p>
  <w:p w:rsidR="00C022B8" w:rsidP="00C022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2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C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22B8" w:rsidRPr="00685C74" w:rsidP="00685C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2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C74" w:rsidRPr="002D2AF8" w:rsidP="00C022B8">
    <w:pPr>
      <w:pStyle w:val="Header"/>
      <w:framePr w:wrap="around"/>
    </w:pPr>
    <w:r>
      <w:fldChar w:fldCharType="begin"/>
    </w:r>
    <w:r>
      <w:instrText xml:space="preserve"> TITLE   \* MERGEFORMAT </w:instrText>
    </w:r>
    <w:r>
      <w:fldChar w:fldCharType="separate"/>
    </w:r>
    <w:r>
      <w:t>TLIE3026 Carry out advanced calculations in the transport and logistics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5C74" w:rsidP="00C022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2B8" w:rsidRPr="002D2AF8" w:rsidP="00C022B8">
    <w:pPr>
      <w:pStyle w:val="Header"/>
      <w:framePr w:wrap="around"/>
    </w:pPr>
    <w:r>
      <w:fldChar w:fldCharType="begin"/>
    </w:r>
    <w:r>
      <w:instrText xml:space="preserve"> TITLE   \* MERGEFORMAT </w:instrText>
    </w:r>
    <w:r>
      <w:fldChar w:fldCharType="separate"/>
    </w:r>
    <w:r w:rsidR="00685C74">
      <w:t>TLIE3026 Carry out advanced calculations in the transport and logistics industry</w:t>
    </w:r>
    <w:r w:rsidR="00685C74">
      <w:fldChar w:fldCharType="end"/>
    </w:r>
    <w:r>
      <w:tab/>
      <w:t xml:space="preserve">Date this document was generated: </w:t>
    </w:r>
    <w:r>
      <w:fldChar w:fldCharType="begin"/>
    </w:r>
    <w:r>
      <w:instrText xml:space="preserve"> CREATEDATE  \@ "d MMMM yyyy"  \* MERGEFORMAT </w:instrText>
    </w:r>
    <w:r>
      <w:fldChar w:fldCharType="separate"/>
    </w:r>
    <w:r w:rsidR="00685C74">
      <w:rPr>
        <w:noProof/>
      </w:rPr>
      <w:t>2 March 2025</w:t>
    </w:r>
    <w:r>
      <w:fldChar w:fldCharType="end"/>
    </w:r>
  </w:p>
  <w:p w:rsidR="00C022B8" w:rsidP="00C022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2A45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8823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3086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2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22B8"/>
    <w:pPr>
      <w:spacing w:before="360" w:after="60"/>
      <w:outlineLvl w:val="0"/>
    </w:pPr>
    <w:rPr>
      <w:sz w:val="32"/>
    </w:rPr>
  </w:style>
  <w:style w:type="paragraph" w:styleId="Heading2">
    <w:name w:val="heading 2"/>
    <w:basedOn w:val="HeadingBase"/>
    <w:next w:val="BodyText"/>
    <w:link w:val="Heading2Char"/>
    <w:qFormat/>
    <w:rsid w:val="00C022B8"/>
    <w:pPr>
      <w:keepLines/>
      <w:spacing w:before="240" w:after="120"/>
      <w:outlineLvl w:val="1"/>
    </w:pPr>
    <w:rPr>
      <w:sz w:val="28"/>
      <w:szCs w:val="40"/>
    </w:rPr>
  </w:style>
  <w:style w:type="paragraph" w:styleId="Heading3">
    <w:name w:val="heading 3"/>
    <w:basedOn w:val="HeadingBase"/>
    <w:next w:val="BodyText"/>
    <w:link w:val="Heading3Char"/>
    <w:qFormat/>
    <w:rsid w:val="00C022B8"/>
    <w:pPr>
      <w:spacing w:before="180" w:after="120"/>
      <w:outlineLvl w:val="2"/>
    </w:pPr>
    <w:rPr>
      <w:spacing w:val="-10"/>
      <w:kern w:val="32"/>
    </w:rPr>
  </w:style>
  <w:style w:type="paragraph" w:styleId="Heading4">
    <w:name w:val="heading 4"/>
    <w:basedOn w:val="HeadingBase"/>
    <w:next w:val="BodyText"/>
    <w:link w:val="Heading4Char"/>
    <w:qFormat/>
    <w:rsid w:val="00C022B8"/>
    <w:pPr>
      <w:spacing w:before="160" w:after="120"/>
      <w:outlineLvl w:val="3"/>
    </w:pPr>
    <w:rPr>
      <w:sz w:val="22"/>
    </w:rPr>
  </w:style>
  <w:style w:type="paragraph" w:styleId="Heading5">
    <w:name w:val="heading 5"/>
    <w:basedOn w:val="HeadingBase"/>
    <w:next w:val="Normal"/>
    <w:link w:val="Heading5Char"/>
    <w:qFormat/>
    <w:rsid w:val="00C022B8"/>
    <w:pPr>
      <w:spacing w:before="80"/>
      <w:outlineLvl w:val="4"/>
    </w:pPr>
    <w:rPr>
      <w:color w:val="918585"/>
      <w:sz w:val="20"/>
    </w:rPr>
  </w:style>
  <w:style w:type="paragraph" w:styleId="Heading6">
    <w:name w:val="heading 6"/>
    <w:basedOn w:val="HeadingBase"/>
    <w:next w:val="Normal"/>
    <w:link w:val="Heading6Char"/>
    <w:qFormat/>
    <w:rsid w:val="00C022B8"/>
    <w:pPr>
      <w:spacing w:before="60"/>
      <w:outlineLvl w:val="5"/>
    </w:pPr>
    <w:rPr>
      <w:color w:val="918585"/>
      <w:sz w:val="20"/>
    </w:rPr>
  </w:style>
  <w:style w:type="paragraph" w:styleId="Heading7">
    <w:name w:val="heading 7"/>
    <w:basedOn w:val="Normal"/>
    <w:next w:val="Normal"/>
    <w:link w:val="Heading7Char"/>
    <w:qFormat/>
    <w:rsid w:val="00C022B8"/>
    <w:pPr>
      <w:ind w:left="720"/>
      <w:outlineLvl w:val="6"/>
    </w:pPr>
    <w:rPr>
      <w:i/>
    </w:rPr>
  </w:style>
  <w:style w:type="paragraph" w:styleId="Heading8">
    <w:name w:val="heading 8"/>
    <w:basedOn w:val="Normal"/>
    <w:next w:val="Normal"/>
    <w:link w:val="Heading8Char"/>
    <w:qFormat/>
    <w:rsid w:val="00C022B8"/>
    <w:pPr>
      <w:ind w:left="720"/>
      <w:outlineLvl w:val="7"/>
    </w:pPr>
    <w:rPr>
      <w:i/>
    </w:rPr>
  </w:style>
  <w:style w:type="paragraph" w:styleId="Heading9">
    <w:name w:val="heading 9"/>
    <w:basedOn w:val="Normal"/>
    <w:next w:val="Normal"/>
    <w:link w:val="Heading9Char"/>
    <w:qFormat/>
    <w:rsid w:val="00C022B8"/>
    <w:pPr>
      <w:ind w:left="720"/>
      <w:outlineLvl w:val="8"/>
    </w:pPr>
    <w:rPr>
      <w:i/>
    </w:rPr>
  </w:style>
  <w:style w:type="character" w:default="1" w:styleId="DefaultParagraphFont">
    <w:name w:val="Default Paragraph Font"/>
    <w:uiPriority w:val="1"/>
    <w:unhideWhenUsed/>
    <w:rsid w:val="00C022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22B8"/>
  </w:style>
  <w:style w:type="character" w:customStyle="1" w:styleId="Heading1Char">
    <w:name w:val="Heading 1 Char"/>
    <w:basedOn w:val="DefaultParagraphFont"/>
    <w:link w:val="Heading1"/>
    <w:rsid w:val="00C022B8"/>
    <w:rPr>
      <w:rFonts w:ascii="Times New Roman" w:eastAsia="Times New Roman" w:hAnsi="Times New Roman" w:cs="Times New Roman"/>
      <w:b/>
      <w:sz w:val="32"/>
      <w:szCs w:val="20"/>
      <w:lang w:eastAsia="en-US"/>
    </w:rPr>
  </w:style>
  <w:style w:type="paragraph" w:styleId="BodyText">
    <w:name w:val="Body Text"/>
    <w:basedOn w:val="Normal"/>
    <w:link w:val="BodyTextChar"/>
    <w:rsid w:val="00C022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22B8"/>
    <w:rPr>
      <w:rFonts w:ascii="Times New Roman" w:eastAsia="Times New Roman" w:hAnsi="Times New Roman" w:cs="Times New Roman"/>
      <w:sz w:val="24"/>
      <w:lang w:eastAsia="en-US"/>
    </w:rPr>
  </w:style>
  <w:style w:type="paragraph" w:styleId="ListBullet">
    <w:name w:val="List Bullet"/>
    <w:basedOn w:val="List"/>
    <w:rsid w:val="00C022B8"/>
    <w:pPr>
      <w:numPr>
        <w:numId w:val="12"/>
      </w:numPr>
      <w:tabs>
        <w:tab w:val="clear" w:pos="340"/>
      </w:tabs>
      <w:spacing w:before="40" w:after="40"/>
    </w:pPr>
  </w:style>
  <w:style w:type="character" w:customStyle="1" w:styleId="SpecialBold">
    <w:name w:val="Special Bold"/>
    <w:basedOn w:val="DefaultParagraphFont"/>
    <w:rsid w:val="00C022B8"/>
    <w:rPr>
      <w:b/>
      <w:spacing w:val="0"/>
    </w:rPr>
  </w:style>
  <w:style w:type="paragraph" w:styleId="ListBullet2">
    <w:name w:val="List Bullet 2"/>
    <w:basedOn w:val="List2"/>
    <w:rsid w:val="00C022B8"/>
    <w:pPr>
      <w:numPr>
        <w:numId w:val="13"/>
      </w:numPr>
      <w:tabs>
        <w:tab w:val="clear" w:pos="680"/>
      </w:tabs>
    </w:pPr>
  </w:style>
  <w:style w:type="character" w:styleId="Emphasis">
    <w:name w:val="Emphasis"/>
    <w:basedOn w:val="DefaultParagraphFont"/>
    <w:qFormat/>
    <w:rsid w:val="00C022B8"/>
    <w:rPr>
      <w:i/>
    </w:rPr>
  </w:style>
  <w:style w:type="paragraph" w:customStyle="1" w:styleId="SuperHeading">
    <w:name w:val="SuperHeading"/>
    <w:basedOn w:val="Normal"/>
    <w:rsid w:val="00C022B8"/>
    <w:pPr>
      <w:spacing w:before="240" w:after="120"/>
      <w:outlineLvl w:val="0"/>
    </w:pPr>
    <w:rPr>
      <w:rFonts w:ascii="Times New Roman" w:hAnsi="Times New Roman"/>
      <w:b/>
      <w:sz w:val="32"/>
    </w:rPr>
  </w:style>
  <w:style w:type="paragraph" w:customStyle="1" w:styleId="AllowPageBreak">
    <w:name w:val="AllowPageBreak"/>
    <w:rsid w:val="00C022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22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22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22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22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22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22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22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22B8"/>
    <w:rPr>
      <w:rFonts w:ascii="Courier New" w:eastAsia="Times New Roman" w:hAnsi="Courier New" w:cs="Times New Roman"/>
      <w:i/>
      <w:szCs w:val="20"/>
      <w:lang w:eastAsia="en-US"/>
    </w:rPr>
  </w:style>
  <w:style w:type="paragraph" w:customStyle="1" w:styleId="HeadingBase">
    <w:name w:val="Heading Base"/>
    <w:rsid w:val="00C022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22B8"/>
    <w:pPr>
      <w:tabs>
        <w:tab w:val="right" w:leader="dot" w:pos="9072"/>
      </w:tabs>
      <w:ind w:left="567"/>
    </w:pPr>
    <w:rPr>
      <w:szCs w:val="22"/>
    </w:rPr>
  </w:style>
  <w:style w:type="paragraph" w:customStyle="1" w:styleId="TOCBase">
    <w:name w:val="TOC Base"/>
    <w:rsid w:val="00C022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22B8"/>
    <w:pPr>
      <w:tabs>
        <w:tab w:val="right" w:leader="dot" w:pos="9072"/>
      </w:tabs>
      <w:spacing w:before="40" w:after="40"/>
      <w:ind w:left="284"/>
    </w:pPr>
    <w:rPr>
      <w:rFonts w:ascii="Times New Roman" w:hAnsi="Times New Roman"/>
    </w:rPr>
  </w:style>
  <w:style w:type="paragraph" w:styleId="TOC1">
    <w:name w:val="toc 1"/>
    <w:basedOn w:val="TOCBase"/>
    <w:next w:val="Normal"/>
    <w:rsid w:val="00C022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22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22B8"/>
    <w:rPr>
      <w:rFonts w:ascii="Times New Roman" w:eastAsia="Times New Roman" w:hAnsi="Times New Roman" w:cs="Times New Roman"/>
      <w:sz w:val="16"/>
      <w:lang w:eastAsia="en-US"/>
    </w:rPr>
  </w:style>
  <w:style w:type="paragraph" w:styleId="Title">
    <w:name w:val="Title"/>
    <w:basedOn w:val="HeadingBase"/>
    <w:link w:val="TitleChar"/>
    <w:qFormat/>
    <w:rsid w:val="00C022B8"/>
    <w:pPr>
      <w:spacing w:before="5040"/>
      <w:jc w:val="center"/>
    </w:pPr>
    <w:rPr>
      <w:sz w:val="48"/>
      <w:szCs w:val="72"/>
      <w:lang w:val="en-US"/>
    </w:rPr>
  </w:style>
  <w:style w:type="character" w:customStyle="1" w:styleId="TitleChar">
    <w:name w:val="Title Char"/>
    <w:basedOn w:val="DefaultParagraphFont"/>
    <w:link w:val="Title"/>
    <w:rsid w:val="00C022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22B8"/>
    <w:pPr>
      <w:tabs>
        <w:tab w:val="left" w:pos="3600"/>
        <w:tab w:val="left" w:pos="3958"/>
      </w:tabs>
    </w:pPr>
  </w:style>
  <w:style w:type="paragraph" w:styleId="List">
    <w:name w:val="List"/>
    <w:basedOn w:val="BodyText"/>
    <w:next w:val="BodyText"/>
    <w:rsid w:val="00C022B8"/>
    <w:pPr>
      <w:tabs>
        <w:tab w:val="left" w:pos="340"/>
      </w:tabs>
      <w:spacing w:before="60" w:after="60"/>
      <w:ind w:left="340" w:hanging="340"/>
    </w:pPr>
  </w:style>
  <w:style w:type="paragraph" w:customStyle="1" w:styleId="Note">
    <w:name w:val="Note"/>
    <w:basedOn w:val="BodyText"/>
    <w:rsid w:val="00C022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22B8"/>
    <w:pPr>
      <w:framePr w:wrap="auto" w:hAnchor="text" w:y="6049"/>
    </w:pPr>
    <w:rPr>
      <w:color w:val="000000"/>
      <w:sz w:val="40"/>
    </w:rPr>
  </w:style>
  <w:style w:type="paragraph" w:customStyle="1" w:styleId="TOCTitle">
    <w:name w:val="TOCTitle"/>
    <w:basedOn w:val="Heading1"/>
    <w:rsid w:val="00C022B8"/>
    <w:pPr>
      <w:spacing w:after="240"/>
      <w:jc w:val="center"/>
      <w:outlineLvl w:val="9"/>
    </w:pPr>
    <w:rPr>
      <w:caps/>
    </w:rPr>
  </w:style>
  <w:style w:type="paragraph" w:customStyle="1" w:styleId="Version">
    <w:name w:val="Version"/>
    <w:rsid w:val="00C022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22B8"/>
    <w:pPr>
      <w:keepNext w:val="0"/>
      <w:tabs>
        <w:tab w:val="right" w:pos="4176"/>
      </w:tabs>
      <w:ind w:left="198" w:hanging="198"/>
    </w:pPr>
    <w:rPr>
      <w:rFonts w:ascii="Garamond" w:hAnsi="Garamond"/>
    </w:rPr>
  </w:style>
  <w:style w:type="paragraph" w:styleId="IndexHeading">
    <w:name w:val="index heading"/>
    <w:basedOn w:val="Normal"/>
    <w:next w:val="Index1"/>
    <w:semiHidden/>
    <w:rsid w:val="00C022B8"/>
    <w:pPr>
      <w:spacing w:before="120" w:after="120"/>
    </w:pPr>
    <w:rPr>
      <w:rFonts w:ascii="Arial" w:hAnsi="Arial"/>
      <w:b/>
      <w:color w:val="918585"/>
      <w:sz w:val="24"/>
    </w:rPr>
  </w:style>
  <w:style w:type="paragraph" w:styleId="Header">
    <w:name w:val="header"/>
    <w:basedOn w:val="Normal"/>
    <w:link w:val="HeaderChar"/>
    <w:rsid w:val="00C022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22B8"/>
    <w:rPr>
      <w:rFonts w:ascii="Times New Roman" w:eastAsia="Times New Roman" w:hAnsi="Times New Roman" w:cs="Times New Roman"/>
      <w:sz w:val="16"/>
      <w:szCs w:val="20"/>
      <w:lang w:val="en-GB" w:eastAsia="en-US"/>
    </w:rPr>
  </w:style>
  <w:style w:type="paragraph" w:customStyle="1" w:styleId="Chapter">
    <w:name w:val="Chapter"/>
    <w:basedOn w:val="Normal"/>
    <w:rsid w:val="00C022B8"/>
    <w:pPr>
      <w:spacing w:before="240"/>
    </w:pPr>
    <w:rPr>
      <w:rFonts w:ascii="Times New Roman" w:hAnsi="Times New Roman"/>
      <w:smallCaps/>
      <w:spacing w:val="80"/>
      <w:sz w:val="28"/>
    </w:rPr>
  </w:style>
  <w:style w:type="paragraph" w:customStyle="1" w:styleId="InChapter">
    <w:name w:val="InChapter"/>
    <w:basedOn w:val="Heading3"/>
    <w:rsid w:val="00C022B8"/>
    <w:pPr>
      <w:spacing w:after="240"/>
      <w:outlineLvl w:val="9"/>
    </w:pPr>
    <w:rPr>
      <w:noProof/>
    </w:rPr>
  </w:style>
  <w:style w:type="paragraph" w:styleId="Index2">
    <w:name w:val="index 2"/>
    <w:basedOn w:val="Normal"/>
    <w:next w:val="Normal"/>
    <w:semiHidden/>
    <w:rsid w:val="00C022B8"/>
    <w:pPr>
      <w:tabs>
        <w:tab w:val="right" w:pos="4176"/>
      </w:tabs>
      <w:ind w:left="568" w:hanging="284"/>
    </w:pPr>
    <w:rPr>
      <w:rFonts w:ascii="Garamond" w:hAnsi="Garamond"/>
    </w:rPr>
  </w:style>
  <w:style w:type="paragraph" w:customStyle="1" w:styleId="Byline">
    <w:name w:val="Byline"/>
    <w:rsid w:val="00C022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22B8"/>
    <w:pPr>
      <w:tabs>
        <w:tab w:val="clear" w:pos="3600"/>
        <w:tab w:val="clear" w:pos="3958"/>
      </w:tabs>
      <w:jc w:val="right"/>
    </w:pPr>
  </w:style>
  <w:style w:type="paragraph" w:styleId="Caption">
    <w:name w:val="caption"/>
    <w:basedOn w:val="BodyText"/>
    <w:next w:val="Normal"/>
    <w:qFormat/>
    <w:rsid w:val="00C022B8"/>
    <w:pPr>
      <w:framePr w:w="2268" w:hSpace="181" w:vSpace="181" w:wrap="around" w:vAnchor="text" w:hAnchor="page" w:x="1135" w:y="285" w:anchorLock="1"/>
    </w:pPr>
    <w:rPr>
      <w:i/>
    </w:rPr>
  </w:style>
  <w:style w:type="paragraph" w:customStyle="1" w:styleId="MiniTOCTitle">
    <w:name w:val="MiniTOCTitle"/>
    <w:basedOn w:val="Heading4"/>
    <w:rsid w:val="00C022B8"/>
    <w:pPr>
      <w:spacing w:before="240"/>
      <w:outlineLvl w:val="9"/>
    </w:pPr>
    <w:rPr>
      <w:noProof/>
      <w:sz w:val="24"/>
    </w:rPr>
  </w:style>
  <w:style w:type="paragraph" w:customStyle="1" w:styleId="MiniTOCItem">
    <w:name w:val="MiniTOCItem"/>
    <w:basedOn w:val="ListBullet"/>
    <w:rsid w:val="00C022B8"/>
    <w:pPr>
      <w:numPr>
        <w:numId w:val="0"/>
      </w:numPr>
      <w:tabs>
        <w:tab w:val="right" w:leader="dot" w:pos="6521"/>
      </w:tabs>
      <w:spacing w:before="0" w:after="0"/>
    </w:pPr>
  </w:style>
  <w:style w:type="paragraph" w:customStyle="1" w:styleId="TOFTitle">
    <w:name w:val="TOFTitle"/>
    <w:basedOn w:val="TOCTitle"/>
    <w:rsid w:val="00C022B8"/>
  </w:style>
  <w:style w:type="paragraph" w:styleId="TableofFigures">
    <w:name w:val="table of figures"/>
    <w:basedOn w:val="Normal"/>
    <w:next w:val="Normal"/>
    <w:semiHidden/>
    <w:rsid w:val="00C022B8"/>
    <w:pPr>
      <w:tabs>
        <w:tab w:val="right" w:leader="dot" w:pos="9072"/>
      </w:tabs>
      <w:ind w:left="970" w:hanging="403"/>
    </w:pPr>
    <w:rPr>
      <w:rFonts w:ascii="Times New Roman" w:hAnsi="Times New Roman"/>
      <w:b/>
    </w:rPr>
  </w:style>
  <w:style w:type="paragraph" w:styleId="ListNumber">
    <w:name w:val="List Number"/>
    <w:basedOn w:val="List"/>
    <w:rsid w:val="00C022B8"/>
    <w:pPr>
      <w:numPr>
        <w:numId w:val="15"/>
      </w:numPr>
      <w:tabs>
        <w:tab w:val="clear" w:pos="340"/>
      </w:tabs>
    </w:pPr>
  </w:style>
  <w:style w:type="character" w:customStyle="1" w:styleId="WingdingSymbols">
    <w:name w:val="Wingding Symbols"/>
    <w:rsid w:val="00C022B8"/>
    <w:rPr>
      <w:rFonts w:ascii="Wingdings" w:hAnsi="Wingdings"/>
    </w:rPr>
  </w:style>
  <w:style w:type="paragraph" w:customStyle="1" w:styleId="TableHeading">
    <w:name w:val="Table Heading"/>
    <w:basedOn w:val="HeadingBase"/>
    <w:rsid w:val="00C022B8"/>
    <w:pPr>
      <w:keepLines/>
      <w:pBdr>
        <w:bottom w:val="single" w:sz="6" w:space="1" w:color="918585"/>
      </w:pBdr>
      <w:spacing w:before="240"/>
    </w:pPr>
  </w:style>
  <w:style w:type="character" w:customStyle="1" w:styleId="HotSpot">
    <w:name w:val="HotSpot"/>
    <w:rsid w:val="00C022B8"/>
    <w:rPr>
      <w:color w:val="0033CC"/>
      <w:u w:val="none"/>
    </w:rPr>
  </w:style>
  <w:style w:type="paragraph" w:customStyle="1" w:styleId="BodyTextRight">
    <w:name w:val="Body Text Right"/>
    <w:basedOn w:val="BodyText"/>
    <w:rsid w:val="00C022B8"/>
    <w:pPr>
      <w:spacing w:before="0" w:after="0"/>
      <w:jc w:val="right"/>
    </w:pPr>
  </w:style>
  <w:style w:type="paragraph" w:styleId="Index3">
    <w:name w:val="index 3"/>
    <w:basedOn w:val="ListNumber2"/>
    <w:next w:val="Normal"/>
    <w:semiHidden/>
    <w:rsid w:val="00C022B8"/>
    <w:pPr>
      <w:numPr>
        <w:numId w:val="0"/>
      </w:numPr>
      <w:tabs>
        <w:tab w:val="right" w:leader="dot" w:pos="4176"/>
      </w:tabs>
    </w:pPr>
  </w:style>
  <w:style w:type="paragraph" w:styleId="ListNumber2">
    <w:name w:val="List Number 2"/>
    <w:basedOn w:val="List2"/>
    <w:rsid w:val="00C022B8"/>
    <w:pPr>
      <w:numPr>
        <w:numId w:val="10"/>
      </w:numPr>
      <w:tabs>
        <w:tab w:val="clear" w:pos="1060"/>
      </w:tabs>
    </w:pPr>
  </w:style>
  <w:style w:type="paragraph" w:customStyle="1" w:styleId="MarginNote">
    <w:name w:val="Margin Note"/>
    <w:basedOn w:val="BodyText"/>
    <w:rsid w:val="00C022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22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22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22B8"/>
    <w:rPr>
      <w:sz w:val="32"/>
    </w:rPr>
  </w:style>
  <w:style w:type="paragraph" w:customStyle="1" w:styleId="HeadingProcedure">
    <w:name w:val="Heading Procedure"/>
    <w:basedOn w:val="HeadingBase"/>
    <w:next w:val="Normal"/>
    <w:rsid w:val="00C022B8"/>
    <w:pPr>
      <w:tabs>
        <w:tab w:val="left" w:pos="0"/>
      </w:tabs>
      <w:spacing w:before="120" w:after="60"/>
    </w:pPr>
    <w:rPr>
      <w:i/>
      <w:color w:val="918585"/>
      <w:sz w:val="22"/>
    </w:rPr>
  </w:style>
  <w:style w:type="paragraph" w:customStyle="1" w:styleId="TableBodyText">
    <w:name w:val="Table Body Text"/>
    <w:basedOn w:val="BodyText"/>
    <w:rsid w:val="00C022B8"/>
    <w:pPr>
      <w:spacing w:before="60" w:after="60"/>
    </w:pPr>
  </w:style>
  <w:style w:type="paragraph" w:styleId="ListContinue">
    <w:name w:val="List Continue"/>
    <w:basedOn w:val="List"/>
    <w:rsid w:val="00C022B8"/>
    <w:pPr>
      <w:ind w:firstLine="0"/>
    </w:pPr>
  </w:style>
  <w:style w:type="paragraph" w:customStyle="1" w:styleId="ListNote">
    <w:name w:val="List Note"/>
    <w:basedOn w:val="List"/>
    <w:rsid w:val="00C022B8"/>
    <w:pPr>
      <w:pBdr>
        <w:top w:val="single" w:sz="6" w:space="2" w:color="918585"/>
        <w:bottom w:val="single" w:sz="6" w:space="2" w:color="918585"/>
      </w:pBdr>
      <w:tabs>
        <w:tab w:val="left" w:pos="1021"/>
      </w:tabs>
      <w:ind w:firstLine="0"/>
    </w:pPr>
  </w:style>
  <w:style w:type="paragraph" w:customStyle="1" w:styleId="Warning">
    <w:name w:val="Warning"/>
    <w:basedOn w:val="BodyText"/>
    <w:rsid w:val="00C022B8"/>
    <w:pPr>
      <w:shd w:val="clear" w:color="auto" w:fill="D9D9D9"/>
      <w:tabs>
        <w:tab w:val="left" w:pos="992"/>
      </w:tabs>
      <w:ind w:left="119" w:right="119"/>
    </w:pPr>
    <w:rPr>
      <w:sz w:val="20"/>
    </w:rPr>
  </w:style>
  <w:style w:type="paragraph" w:customStyle="1" w:styleId="MarginIcons">
    <w:name w:val="Margin Icons"/>
    <w:basedOn w:val="BodyText"/>
    <w:rsid w:val="00C022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22B8"/>
    <w:rPr>
      <w:rFonts w:ascii="Courier New" w:hAnsi="Courier New"/>
    </w:rPr>
  </w:style>
  <w:style w:type="paragraph" w:customStyle="1" w:styleId="NoteBullet">
    <w:name w:val="Note Bullet"/>
    <w:basedOn w:val="Note"/>
    <w:rsid w:val="00C022B8"/>
    <w:pPr>
      <w:tabs>
        <w:tab w:val="clear" w:pos="680"/>
      </w:tabs>
      <w:spacing w:before="60" w:after="60"/>
    </w:pPr>
  </w:style>
  <w:style w:type="paragraph" w:customStyle="1" w:styleId="SubHeading2">
    <w:name w:val="SubHeading2"/>
    <w:basedOn w:val="HeadingBase"/>
    <w:rsid w:val="00C022B8"/>
    <w:pPr>
      <w:spacing w:before="240" w:after="60"/>
    </w:pPr>
    <w:rPr>
      <w:sz w:val="20"/>
    </w:rPr>
  </w:style>
  <w:style w:type="paragraph" w:customStyle="1" w:styleId="SubHeading1">
    <w:name w:val="SubHeading1"/>
    <w:basedOn w:val="HeadingBase"/>
    <w:rsid w:val="00C022B8"/>
    <w:pPr>
      <w:spacing w:before="240" w:after="60"/>
    </w:pPr>
    <w:rPr>
      <w:color w:val="918585"/>
      <w:sz w:val="22"/>
    </w:rPr>
  </w:style>
  <w:style w:type="paragraph" w:customStyle="1" w:styleId="SideHeading">
    <w:name w:val="Side Heading"/>
    <w:basedOn w:val="HeadingBase"/>
    <w:rsid w:val="00C022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22B8"/>
    <w:pPr>
      <w:tabs>
        <w:tab w:val="num" w:pos="360"/>
      </w:tabs>
    </w:pPr>
  </w:style>
  <w:style w:type="paragraph" w:styleId="PlainText">
    <w:name w:val="Plain Text"/>
    <w:basedOn w:val="Normal"/>
    <w:link w:val="PlainTextChar"/>
    <w:rsid w:val="00C022B8"/>
    <w:rPr>
      <w:sz w:val="20"/>
    </w:rPr>
  </w:style>
  <w:style w:type="character" w:customStyle="1" w:styleId="PlainTextChar">
    <w:name w:val="Plain Text Char"/>
    <w:basedOn w:val="DefaultParagraphFont"/>
    <w:link w:val="PlainText"/>
    <w:rsid w:val="00C022B8"/>
    <w:rPr>
      <w:rFonts w:ascii="Courier New" w:eastAsia="Times New Roman" w:hAnsi="Courier New" w:cs="Times New Roman"/>
      <w:sz w:val="20"/>
      <w:szCs w:val="20"/>
      <w:lang w:eastAsia="en-US"/>
    </w:rPr>
  </w:style>
  <w:style w:type="character" w:customStyle="1" w:styleId="MenuOption">
    <w:name w:val="Menu Option"/>
    <w:basedOn w:val="DefaultParagraphFont"/>
    <w:rsid w:val="00C022B8"/>
    <w:rPr>
      <w:b/>
      <w:smallCaps/>
    </w:rPr>
  </w:style>
  <w:style w:type="paragraph" w:customStyle="1" w:styleId="TableListNumber">
    <w:name w:val="Table List Number"/>
    <w:basedOn w:val="ListNumber"/>
    <w:rsid w:val="00C022B8"/>
    <w:pPr>
      <w:numPr>
        <w:numId w:val="0"/>
      </w:numPr>
    </w:pPr>
  </w:style>
  <w:style w:type="paragraph" w:styleId="TOC4">
    <w:name w:val="toc 4"/>
    <w:basedOn w:val="TOCBase"/>
    <w:next w:val="Normal"/>
    <w:semiHidden/>
    <w:rsid w:val="00C022B8"/>
    <w:pPr>
      <w:tabs>
        <w:tab w:val="right" w:leader="dot" w:pos="9071"/>
      </w:tabs>
      <w:ind w:left="1701"/>
    </w:pPr>
  </w:style>
  <w:style w:type="paragraph" w:customStyle="1" w:styleId="ListAlpha">
    <w:name w:val="List Alpha"/>
    <w:basedOn w:val="List"/>
    <w:rsid w:val="00C022B8"/>
    <w:pPr>
      <w:numPr>
        <w:numId w:val="9"/>
      </w:numPr>
    </w:pPr>
  </w:style>
  <w:style w:type="paragraph" w:customStyle="1" w:styleId="ListAlpha2">
    <w:name w:val="List Alpha 2"/>
    <w:basedOn w:val="List2"/>
    <w:rsid w:val="00C022B8"/>
    <w:pPr>
      <w:numPr>
        <w:numId w:val="8"/>
      </w:numPr>
    </w:pPr>
  </w:style>
  <w:style w:type="paragraph" w:styleId="List2">
    <w:name w:val="List 2"/>
    <w:basedOn w:val="BodyText"/>
    <w:rsid w:val="00C022B8"/>
    <w:pPr>
      <w:tabs>
        <w:tab w:val="left" w:pos="680"/>
      </w:tabs>
      <w:spacing w:before="60" w:after="60"/>
      <w:ind w:left="680" w:hanging="340"/>
    </w:pPr>
  </w:style>
  <w:style w:type="paragraph" w:styleId="List3">
    <w:name w:val="List 3"/>
    <w:basedOn w:val="BodyText"/>
    <w:rsid w:val="00C022B8"/>
    <w:pPr>
      <w:tabs>
        <w:tab w:val="left" w:pos="1021"/>
      </w:tabs>
      <w:spacing w:before="60" w:after="60"/>
      <w:ind w:left="1020" w:hanging="340"/>
    </w:pPr>
  </w:style>
  <w:style w:type="paragraph" w:styleId="List4">
    <w:name w:val="List 4"/>
    <w:basedOn w:val="BodyText"/>
    <w:rsid w:val="00C022B8"/>
    <w:pPr>
      <w:tabs>
        <w:tab w:val="left" w:pos="1361"/>
      </w:tabs>
      <w:spacing w:before="60" w:after="60"/>
      <w:ind w:left="1361" w:hanging="340"/>
    </w:pPr>
  </w:style>
  <w:style w:type="paragraph" w:styleId="List5">
    <w:name w:val="List 5"/>
    <w:basedOn w:val="BodyText"/>
    <w:rsid w:val="00C022B8"/>
    <w:pPr>
      <w:tabs>
        <w:tab w:val="left" w:pos="1701"/>
      </w:tabs>
      <w:spacing w:before="60" w:after="60"/>
      <w:ind w:left="1701" w:hanging="340"/>
    </w:pPr>
  </w:style>
  <w:style w:type="paragraph" w:styleId="ListBullet3">
    <w:name w:val="List Bullet 3"/>
    <w:basedOn w:val="List3"/>
    <w:rsid w:val="00C022B8"/>
    <w:pPr>
      <w:numPr>
        <w:numId w:val="14"/>
      </w:numPr>
      <w:tabs>
        <w:tab w:val="clear" w:pos="1021"/>
      </w:tabs>
      <w:ind w:left="1037" w:hanging="357"/>
    </w:pPr>
  </w:style>
  <w:style w:type="paragraph" w:styleId="ListBullet4">
    <w:name w:val="List Bullet 4"/>
    <w:basedOn w:val="List4"/>
    <w:rsid w:val="00C022B8"/>
    <w:pPr>
      <w:numPr>
        <w:numId w:val="3"/>
      </w:numPr>
      <w:tabs>
        <w:tab w:val="clear" w:pos="1361"/>
      </w:tabs>
    </w:pPr>
  </w:style>
  <w:style w:type="paragraph" w:styleId="ListBullet5">
    <w:name w:val="List Bullet 5"/>
    <w:basedOn w:val="List5"/>
    <w:rsid w:val="00C022B8"/>
    <w:pPr>
      <w:numPr>
        <w:numId w:val="4"/>
      </w:numPr>
    </w:pPr>
  </w:style>
  <w:style w:type="paragraph" w:styleId="ListContinue2">
    <w:name w:val="List Continue 2"/>
    <w:basedOn w:val="List2"/>
    <w:rsid w:val="00C022B8"/>
    <w:pPr>
      <w:ind w:firstLine="0"/>
    </w:pPr>
  </w:style>
  <w:style w:type="paragraph" w:styleId="ListContinue3">
    <w:name w:val="List Continue 3"/>
    <w:basedOn w:val="List3"/>
    <w:rsid w:val="00C022B8"/>
    <w:pPr>
      <w:ind w:left="1021" w:firstLine="0"/>
    </w:pPr>
  </w:style>
  <w:style w:type="paragraph" w:styleId="ListContinue4">
    <w:name w:val="List Continue 4"/>
    <w:basedOn w:val="List4"/>
    <w:rsid w:val="00C022B8"/>
    <w:pPr>
      <w:ind w:firstLine="0"/>
    </w:pPr>
  </w:style>
  <w:style w:type="paragraph" w:styleId="ListContinue5">
    <w:name w:val="List Continue 5"/>
    <w:basedOn w:val="List5"/>
    <w:rsid w:val="00C022B8"/>
    <w:pPr>
      <w:ind w:firstLine="0"/>
    </w:pPr>
  </w:style>
  <w:style w:type="paragraph" w:styleId="ListNumber3">
    <w:name w:val="List Number 3"/>
    <w:basedOn w:val="List3"/>
    <w:rsid w:val="00C022B8"/>
    <w:pPr>
      <w:numPr>
        <w:numId w:val="5"/>
      </w:numPr>
    </w:pPr>
  </w:style>
  <w:style w:type="paragraph" w:styleId="ListNumber4">
    <w:name w:val="List Number 4"/>
    <w:basedOn w:val="List4"/>
    <w:rsid w:val="00C022B8"/>
    <w:pPr>
      <w:numPr>
        <w:numId w:val="6"/>
      </w:numPr>
    </w:pPr>
  </w:style>
  <w:style w:type="paragraph" w:styleId="ListNumber5">
    <w:name w:val="List Number 5"/>
    <w:basedOn w:val="List5"/>
    <w:rsid w:val="00C022B8"/>
    <w:pPr>
      <w:numPr>
        <w:numId w:val="7"/>
      </w:numPr>
    </w:pPr>
  </w:style>
  <w:style w:type="paragraph" w:styleId="BlockText">
    <w:name w:val="Block Text"/>
    <w:basedOn w:val="Normal"/>
    <w:rsid w:val="00C022B8"/>
    <w:pPr>
      <w:spacing w:after="120"/>
      <w:ind w:left="1440" w:right="1440"/>
    </w:pPr>
  </w:style>
  <w:style w:type="character" w:customStyle="1" w:styleId="Subscript">
    <w:name w:val="Subscript"/>
    <w:basedOn w:val="DefaultParagraphFont"/>
    <w:rsid w:val="00C022B8"/>
    <w:rPr>
      <w:sz w:val="16"/>
      <w:vertAlign w:val="subscript"/>
    </w:rPr>
  </w:style>
  <w:style w:type="character" w:customStyle="1" w:styleId="Superscript">
    <w:name w:val="Superscript"/>
    <w:basedOn w:val="DefaultParagraphFont"/>
    <w:rsid w:val="00C022B8"/>
    <w:rPr>
      <w:sz w:val="16"/>
      <w:vertAlign w:val="superscript"/>
    </w:rPr>
  </w:style>
  <w:style w:type="character" w:customStyle="1" w:styleId="Symbols">
    <w:name w:val="Symbols"/>
    <w:basedOn w:val="DefaultParagraphFont"/>
    <w:rsid w:val="00C022B8"/>
    <w:rPr>
      <w:rFonts w:ascii="Symbol" w:hAnsi="Symbol"/>
    </w:rPr>
  </w:style>
  <w:style w:type="character" w:customStyle="1" w:styleId="MenuOptions">
    <w:name w:val="Menu Options"/>
    <w:basedOn w:val="DefaultParagraphFont"/>
    <w:rsid w:val="00C022B8"/>
    <w:rPr>
      <w:rFonts w:ascii="Arial Narrow" w:hAnsi="Arial Narrow"/>
      <w:smallCaps/>
    </w:rPr>
  </w:style>
  <w:style w:type="character" w:customStyle="1" w:styleId="Buttons">
    <w:name w:val="Buttons"/>
    <w:basedOn w:val="DefaultParagraphFont"/>
    <w:rsid w:val="00C022B8"/>
    <w:rPr>
      <w:b/>
    </w:rPr>
  </w:style>
  <w:style w:type="character" w:customStyle="1" w:styleId="Underlined">
    <w:name w:val="Underlined"/>
    <w:basedOn w:val="DefaultParagraphFont"/>
    <w:rsid w:val="00C022B8"/>
    <w:rPr>
      <w:u w:val="single"/>
    </w:rPr>
  </w:style>
  <w:style w:type="paragraph" w:customStyle="1" w:styleId="TableBodyTextRight">
    <w:name w:val="Table Body Text Right"/>
    <w:basedOn w:val="TableBodyText"/>
    <w:rsid w:val="00C022B8"/>
    <w:pPr>
      <w:widowControl w:val="0"/>
      <w:autoSpaceDE w:val="0"/>
      <w:autoSpaceDN w:val="0"/>
      <w:adjustRightInd w:val="0"/>
      <w:jc w:val="right"/>
    </w:pPr>
    <w:rPr>
      <w:rFonts w:cs="Arial"/>
      <w:szCs w:val="18"/>
    </w:rPr>
  </w:style>
  <w:style w:type="paragraph" w:customStyle="1" w:styleId="CopyrightText">
    <w:name w:val="Copyright Text"/>
    <w:basedOn w:val="BodyText"/>
    <w:rsid w:val="00C022B8"/>
    <w:rPr>
      <w:sz w:val="18"/>
    </w:rPr>
  </w:style>
  <w:style w:type="paragraph" w:customStyle="1" w:styleId="BodySmallRight">
    <w:name w:val="Body Small Right"/>
    <w:basedOn w:val="BodyTextRight"/>
    <w:rsid w:val="00C022B8"/>
    <w:rPr>
      <w:sz w:val="18"/>
      <w:szCs w:val="18"/>
    </w:rPr>
  </w:style>
  <w:style w:type="paragraph" w:customStyle="1" w:styleId="MarginEdition">
    <w:name w:val="Margin Edition"/>
    <w:basedOn w:val="MarginNote"/>
    <w:rsid w:val="00C022B8"/>
    <w:pPr>
      <w:spacing w:before="0" w:after="0"/>
    </w:pPr>
    <w:rPr>
      <w:rFonts w:ascii="Times New Roman" w:hAnsi="Times New Roman"/>
      <w:color w:val="999999"/>
    </w:rPr>
  </w:style>
  <w:style w:type="paragraph" w:customStyle="1" w:styleId="Spacer">
    <w:name w:val="Spacer"/>
    <w:basedOn w:val="Normal"/>
    <w:rsid w:val="00C022B8"/>
    <w:rPr>
      <w:sz w:val="2"/>
      <w:szCs w:val="2"/>
    </w:rPr>
  </w:style>
  <w:style w:type="character" w:customStyle="1" w:styleId="Small">
    <w:name w:val="Small"/>
    <w:basedOn w:val="DefaultParagraphFont"/>
    <w:rsid w:val="00C022B8"/>
    <w:rPr>
      <w:sz w:val="16"/>
    </w:rPr>
  </w:style>
  <w:style w:type="paragraph" w:customStyle="1" w:styleId="WideTable">
    <w:name w:val="Wide Table"/>
    <w:basedOn w:val="Normal"/>
    <w:rsid w:val="00C022B8"/>
    <w:pPr>
      <w:ind w:left="-1418"/>
    </w:pPr>
    <w:rPr>
      <w:sz w:val="2"/>
      <w:szCs w:val="2"/>
    </w:rPr>
  </w:style>
  <w:style w:type="character" w:styleId="PageNumber">
    <w:name w:val="page number"/>
    <w:basedOn w:val="DefaultParagraphFont"/>
    <w:rsid w:val="00C022B8"/>
  </w:style>
  <w:style w:type="paragraph" w:styleId="Quote">
    <w:name w:val="Quote"/>
    <w:basedOn w:val="Heading1"/>
    <w:link w:val="QuoteChar"/>
    <w:qFormat/>
    <w:rsid w:val="00C022B8"/>
    <w:rPr>
      <w:b w:val="0"/>
      <w:sz w:val="72"/>
      <w:szCs w:val="72"/>
      <w:lang w:val="en-NZ"/>
    </w:rPr>
  </w:style>
  <w:style w:type="character" w:customStyle="1" w:styleId="QuoteChar">
    <w:name w:val="Quote Char"/>
    <w:basedOn w:val="DefaultParagraphFont"/>
    <w:link w:val="Quote"/>
    <w:rsid w:val="00C022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22B8"/>
    <w:pPr>
      <w:pageBreakBefore/>
    </w:pPr>
  </w:style>
  <w:style w:type="paragraph" w:customStyle="1" w:styleId="Border">
    <w:name w:val="Border"/>
    <w:basedOn w:val="Normal"/>
    <w:qFormat/>
    <w:rsid w:val="00C022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22B8"/>
    <w:rPr>
      <w:b/>
      <w:bCs/>
      <w:i/>
      <w:iCs/>
      <w:color w:val="auto"/>
    </w:rPr>
  </w:style>
  <w:style w:type="paragraph" w:styleId="IntenseQuote">
    <w:name w:val="Intense Quote"/>
    <w:basedOn w:val="Normal"/>
    <w:next w:val="Normal"/>
    <w:link w:val="IntenseQuoteChar"/>
    <w:uiPriority w:val="30"/>
    <w:qFormat/>
    <w:rsid w:val="00C022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22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22B8"/>
    <w:rPr>
      <w:smallCaps/>
      <w:color w:val="auto"/>
      <w:u w:val="single"/>
    </w:rPr>
  </w:style>
  <w:style w:type="character" w:styleId="IntenseReference">
    <w:name w:val="Intense Reference"/>
    <w:basedOn w:val="DefaultParagraphFont"/>
    <w:uiPriority w:val="32"/>
    <w:qFormat/>
    <w:rsid w:val="00C022B8"/>
    <w:rPr>
      <w:b/>
      <w:bCs/>
      <w:smallCaps/>
      <w:color w:val="auto"/>
      <w:spacing w:val="5"/>
      <w:u w:val="single"/>
    </w:rPr>
  </w:style>
  <w:style w:type="paragraph" w:customStyle="1" w:styleId="2ColumnHeading">
    <w:name w:val="2Column Heading"/>
    <w:basedOn w:val="BodyText"/>
    <w:qFormat/>
    <w:rsid w:val="00C022B8"/>
    <w:pPr>
      <w:spacing w:after="60"/>
      <w:ind w:left="-2268"/>
    </w:pPr>
    <w:rPr>
      <w:b/>
    </w:rPr>
  </w:style>
  <w:style w:type="paragraph" w:customStyle="1" w:styleId="Heading1TOC">
    <w:name w:val="Heading1 TOC"/>
    <w:basedOn w:val="Normal"/>
    <w:qFormat/>
    <w:rsid w:val="00C022B8"/>
    <w:pPr>
      <w:spacing w:before="240" w:after="120"/>
    </w:pPr>
    <w:rPr>
      <w:rFonts w:ascii="Times New Roman" w:hAnsi="Times New Roman"/>
      <w:b/>
      <w:sz w:val="32"/>
    </w:rPr>
  </w:style>
  <w:style w:type="paragraph" w:customStyle="1" w:styleId="Heading2TOC">
    <w:name w:val="Heading2 TOC"/>
    <w:basedOn w:val="Normal"/>
    <w:qFormat/>
    <w:rsid w:val="00C022B8"/>
    <w:pPr>
      <w:spacing w:before="240" w:after="60"/>
    </w:pPr>
    <w:rPr>
      <w:rFonts w:ascii="Times New Roman" w:hAnsi="Times New Roman"/>
      <w:b/>
      <w:sz w:val="28"/>
    </w:rPr>
  </w:style>
  <w:style w:type="character" w:customStyle="1" w:styleId="Underline">
    <w:name w:val="Underline"/>
    <w:basedOn w:val="DefaultParagraphFont"/>
    <w:qFormat/>
    <w:rsid w:val="00C022B8"/>
    <w:rPr>
      <w:u w:val="single"/>
    </w:rPr>
  </w:style>
  <w:style w:type="character" w:customStyle="1" w:styleId="BoldandItalics">
    <w:name w:val="Bold and Italics"/>
    <w:qFormat/>
    <w:rsid w:val="00C022B8"/>
    <w:rPr>
      <w:b/>
      <w:i/>
      <w:u w:val="none"/>
    </w:rPr>
  </w:style>
  <w:style w:type="paragraph" w:styleId="BalloonText">
    <w:name w:val="Balloon Text"/>
    <w:basedOn w:val="Normal"/>
    <w:link w:val="BalloonTextChar"/>
    <w:rsid w:val="00C022B8"/>
    <w:rPr>
      <w:rFonts w:ascii="Tahoma" w:hAnsi="Tahoma" w:cs="Tahoma"/>
      <w:sz w:val="16"/>
      <w:szCs w:val="16"/>
    </w:rPr>
  </w:style>
  <w:style w:type="character" w:customStyle="1" w:styleId="BalloonTextChar">
    <w:name w:val="Balloon Text Char"/>
    <w:basedOn w:val="DefaultParagraphFont"/>
    <w:link w:val="BalloonText"/>
    <w:rsid w:val="00C022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22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22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22B8"/>
    <w:rPr>
      <w:b/>
      <w:color w:val="660033"/>
      <w:spacing w:val="0"/>
    </w:rPr>
  </w:style>
  <w:style w:type="paragraph" w:customStyle="1" w:styleId="Nameditemlist">
    <w:name w:val="Named item list"/>
    <w:basedOn w:val="BodyText"/>
    <w:qFormat/>
    <w:rsid w:val="00C022B8"/>
    <w:pPr>
      <w:tabs>
        <w:tab w:val="left" w:pos="2835"/>
      </w:tabs>
      <w:ind w:left="2835" w:hanging="2835"/>
    </w:pPr>
  </w:style>
  <w:style w:type="paragraph" w:customStyle="1" w:styleId="BodyTextnopadding">
    <w:name w:val="Body Text no padding"/>
    <w:basedOn w:val="BodyText"/>
    <w:qFormat/>
    <w:rsid w:val="00C022B8"/>
    <w:pPr>
      <w:spacing w:before="0" w:after="0"/>
    </w:pPr>
  </w:style>
  <w:style w:type="paragraph" w:customStyle="1" w:styleId="BodyTextBold">
    <w:name w:val="Body Text Bold"/>
    <w:basedOn w:val="BodyText"/>
    <w:qFormat/>
    <w:rsid w:val="00C022B8"/>
    <w:rPr>
      <w:b/>
    </w:rPr>
  </w:style>
  <w:style w:type="character" w:styleId="Hyperlink">
    <w:name w:val="Hyperlink"/>
    <w:basedOn w:val="DefaultParagraphFont"/>
    <w:uiPriority w:val="99"/>
    <w:unhideWhenUsed/>
    <w:rsid w:val="00685C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919</Words>
  <Characters>6256</Characters>
  <Application>Microsoft Office Word</Application>
  <DocSecurity>0</DocSecurity>
  <Lines>208</Lines>
  <Paragraphs>140</Paragraphs>
  <ScaleCrop>false</ScaleCrop>
  <Company>Author-it Software Corporation Ltd.</Company>
  <LinksUpToDate>false</LinksUpToDate>
  <CharactersWithSpaces>7035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TLIE3026 Carry out advanced calculations in the transport and logistics industry</dc:title>
  <dc:subject>Approved</dc:subject>
  <dc:creator>Industry Skills Australia</dc:creator>
  <cp:keywords>Release: 1</cp:keywords>
  <dc:description>Review Date: 12 April 2008</dc:description>
  <cp:lastModifiedBy>HSD_TPCMSd.prod</cp:lastModifiedBy>
  <cp:revision>3</cp:revision>
  <dcterms:created xsi:type="dcterms:W3CDTF">2025-03-01T20:28:00Z</dcterms:created>
  <dcterms:modified xsi:type="dcterms:W3CDTF">2025-03-01T20:28:00Z</dcterms:modified>
</cp:coreProperties>
</file>