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24DFB" w:rsidP="00024DF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TLIE3026 Carry out advanced calculations in the transport and logistics industry</w:t>
      </w:r>
      <w:r>
        <w:fldChar w:fldCharType="end"/>
      </w:r>
    </w:p>
    <w:p w:rsidR="00024DFB" w:rsidP="00024DFB">
      <w:pPr>
        <w:pStyle w:val="Version"/>
        <w:sectPr w:rsidSect="0013225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13225E" w:rsidP="0013225E">
      <w:pPr>
        <w:pStyle w:val="SuperHeading"/>
      </w:pPr>
      <w:r w:rsidRPr="0013225E">
        <w:t>Assessment Requirements for TLIE3026 Carry out advanced calculations in the transport and logistics industry</w:t>
      </w:r>
    </w:p>
    <w:p w:rsidR="00000000" w:rsidRPr="0013225E" w:rsidP="0013225E">
      <w:pPr>
        <w:pStyle w:val="Heading1"/>
      </w:pPr>
      <w:bookmarkStart w:id="1" w:name="O_844522"/>
      <w:bookmarkEnd w:id="1"/>
      <w:r w:rsidRPr="0013225E">
        <w:t>Modification History</w:t>
      </w:r>
    </w:p>
    <w:p w:rsidR="00024DFB" w:rsidP="00024DFB">
      <w:pPr>
        <w:pStyle w:val="BodyText"/>
      </w:pPr>
      <w:r w:rsidRPr="0013225E">
        <w:t>Release 1. This is the first release of this unit of competency in the TLI Transport and Logistics Training Package.</w:t>
      </w:r>
    </w:p>
    <w:p w:rsidR="00000000" w:rsidRPr="0013225E" w:rsidP="0013225E">
      <w:pPr>
        <w:pStyle w:val="Heading1"/>
      </w:pPr>
      <w:bookmarkStart w:id="2" w:name="O_844523"/>
      <w:bookmarkEnd w:id="2"/>
      <w:r w:rsidRPr="0013225E">
        <w:t>Performance Evidence</w:t>
      </w:r>
    </w:p>
    <w:tbl>
      <w:tblPr>
        <w:tblW w:w="949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8"/>
      </w:tblGrid>
      <w:tr w:rsidTr="0013225E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057"/>
        </w:trPr>
        <w:tc>
          <w:tcPr>
            <w:tcW w:w="94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225E">
            <w:pPr>
              <w:pStyle w:val="BodyText"/>
              <w:rPr>
                <w:lang w:val="en-NZ"/>
              </w:rPr>
            </w:pPr>
            <w:r w:rsidRPr="0013225E">
              <w:t xml:space="preserve">Evidence required to demonstrate competence in this unit must be relevant to and satisfy all of the </w:t>
            </w:r>
            <w:r w:rsidRPr="0013225E">
              <w:t>requirements of the elements and performance criteria on at least one occasion and include:</w:t>
            </w:r>
          </w:p>
        </w:tc>
      </w:tr>
      <w:tr w:rsidTr="0013225E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752"/>
        </w:trPr>
        <w:tc>
          <w:tcPr>
            <w:tcW w:w="94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3225E" w:rsidP="0013225E">
            <w:pPr>
              <w:pStyle w:val="ListBullet"/>
            </w:pPr>
            <w:r w:rsidRPr="0013225E">
              <w:t xml:space="preserve">calculating load limit </w:t>
            </w:r>
          </w:p>
          <w:p w:rsidR="00000000" w:rsidRPr="0013225E" w:rsidP="0013225E">
            <w:pPr>
              <w:pStyle w:val="ListBullet"/>
            </w:pPr>
            <w:r w:rsidRPr="0013225E">
              <w:t>calculating mass and dimension of work function for job role using fractions, percentages and mixed numbers</w:t>
            </w:r>
          </w:p>
          <w:p w:rsidR="00000000" w:rsidRPr="0013225E" w:rsidP="0013225E">
            <w:pPr>
              <w:pStyle w:val="ListBullet"/>
            </w:pPr>
            <w:r w:rsidRPr="0013225E">
              <w:t>completing documentation relat</w:t>
            </w:r>
            <w:r w:rsidRPr="0013225E">
              <w:t>ing to work activities</w:t>
            </w:r>
          </w:p>
          <w:p w:rsidR="00000000" w:rsidRPr="0013225E" w:rsidP="0013225E">
            <w:pPr>
              <w:pStyle w:val="ListBullet"/>
            </w:pPr>
            <w:r w:rsidRPr="0013225E">
              <w:t>estimating working load limits</w:t>
            </w:r>
          </w:p>
          <w:p w:rsidR="00000000" w:rsidRPr="0013225E" w:rsidP="0013225E">
            <w:pPr>
              <w:pStyle w:val="ListBullet"/>
            </w:pPr>
            <w:r w:rsidRPr="0013225E">
              <w:t xml:space="preserve">interpreting and analysing a workplace mathematical symbol </w:t>
            </w:r>
          </w:p>
          <w:p w:rsidR="00000000" w:rsidRPr="0013225E" w:rsidP="0013225E">
            <w:pPr>
              <w:pStyle w:val="ListBullet"/>
            </w:pPr>
            <w:r w:rsidRPr="0013225E">
              <w:t>interpreting and following operational instructions and prioritising work</w:t>
            </w:r>
          </w:p>
          <w:p w:rsidR="00000000" w:rsidRPr="0013225E" w:rsidP="0013225E">
            <w:pPr>
              <w:pStyle w:val="ListBullet"/>
            </w:pPr>
            <w:r w:rsidRPr="0013225E">
              <w:t xml:space="preserve">making accurate estimates in a range of situations </w:t>
            </w:r>
          </w:p>
          <w:p w:rsidR="00000000" w:rsidRPr="0013225E" w:rsidP="0013225E">
            <w:pPr>
              <w:pStyle w:val="ListBullet"/>
            </w:pPr>
            <w:r w:rsidRPr="0013225E">
              <w:t>modifying activities depending on operational contingencies and environments</w:t>
            </w:r>
          </w:p>
          <w:p w:rsidR="00000000" w:rsidRPr="0013225E" w:rsidP="0013225E">
            <w:pPr>
              <w:pStyle w:val="ListBullet"/>
            </w:pPr>
            <w:r w:rsidRPr="0013225E">
              <w:t>operating and adapting to differences in equipment in accordance with operating procedures</w:t>
            </w:r>
          </w:p>
          <w:p w:rsidR="00000000" w:rsidRPr="0013225E" w:rsidP="0013225E">
            <w:pPr>
              <w:pStyle w:val="ListBullet"/>
            </w:pPr>
            <w:r w:rsidRPr="0013225E">
              <w:t>reading complex dials and indicators, non-standard units of measurement, metric and impe</w:t>
            </w:r>
            <w:r w:rsidRPr="0013225E">
              <w:t>rial unit conversion, more advanced time estimates</w:t>
            </w:r>
          </w:p>
          <w:p w:rsidR="00000000" w:rsidRPr="0013225E" w:rsidP="0013225E">
            <w:pPr>
              <w:pStyle w:val="ListBullet"/>
            </w:pPr>
            <w:r w:rsidRPr="0013225E">
              <w:t>reading complex legislative and regulatory requirements</w:t>
            </w:r>
          </w:p>
          <w:p w:rsidR="00000000" w:rsidRPr="0013225E" w:rsidP="0013225E">
            <w:pPr>
              <w:pStyle w:val="ListBullet"/>
            </w:pPr>
            <w:r w:rsidRPr="0013225E">
              <w:t>using multiple pieces of mathematical information to perform complex mathematical processes</w:t>
            </w:r>
          </w:p>
          <w:p w:rsidR="00000000" w:rsidRPr="0013225E" w:rsidP="0013225E">
            <w:pPr>
              <w:pStyle w:val="ListBullet"/>
            </w:pPr>
            <w:r w:rsidRPr="0013225E">
              <w:t>using ratios and proportion, and applying rates</w:t>
            </w:r>
          </w:p>
          <w:p w:rsidR="00000000" w:rsidRPr="0013225E" w:rsidP="0013225E">
            <w:pPr>
              <w:pStyle w:val="ListBullet"/>
            </w:pPr>
            <w:r w:rsidRPr="0013225E">
              <w:t>working c</w:t>
            </w:r>
            <w:r w:rsidRPr="0013225E">
              <w:t xml:space="preserve">ollaboratively with others </w:t>
            </w:r>
          </w:p>
          <w:p w:rsidR="00000000" w:rsidRPr="0013225E" w:rsidP="0013225E">
            <w:pPr>
              <w:pStyle w:val="ListBullet"/>
            </w:pPr>
            <w:r w:rsidRPr="0013225E">
              <w:t>working systematically with required attention to detail.</w:t>
            </w:r>
          </w:p>
        </w:tc>
      </w:tr>
    </w:tbl>
    <w:p w:rsidR="00024DFB" w:rsidP="0013225E">
      <w:pPr>
        <w:pStyle w:val="BodyText"/>
      </w:pPr>
    </w:p>
    <w:p w:rsidR="00024DFB" w:rsidP="0013225E">
      <w:pPr>
        <w:pStyle w:val="BodyText"/>
      </w:pPr>
    </w:p>
    <w:p w:rsidR="00000000" w:rsidRPr="0013225E" w:rsidP="0013225E">
      <w:pPr>
        <w:pStyle w:val="Heading1"/>
      </w:pPr>
      <w:bookmarkStart w:id="3" w:name="O_844524"/>
      <w:bookmarkEnd w:id="3"/>
      <w:r w:rsidRPr="0013225E">
        <w:t>Knowledge Evidence</w:t>
      </w:r>
    </w:p>
    <w:tbl>
      <w:tblPr>
        <w:tblW w:w="949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8"/>
      </w:tblGrid>
      <w:tr w:rsidTr="0013225E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108"/>
        </w:trPr>
        <w:tc>
          <w:tcPr>
            <w:tcW w:w="94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225E">
            <w:pPr>
              <w:pStyle w:val="BodyText"/>
              <w:rPr>
                <w:lang w:val="en-NZ"/>
              </w:rPr>
            </w:pPr>
            <w:r w:rsidRPr="0013225E">
              <w:t>Evidence required to demonstrate competence in this unit must be relevant to and satisfy all of the requirements of the elements an</w:t>
            </w:r>
            <w:r w:rsidRPr="0013225E">
              <w:t>d performance criteria and include knowledge of:</w:t>
            </w:r>
          </w:p>
        </w:tc>
      </w:tr>
      <w:tr w:rsidTr="0013225E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42"/>
        </w:trPr>
        <w:tc>
          <w:tcPr>
            <w:tcW w:w="94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3225E" w:rsidP="0013225E">
            <w:pPr>
              <w:pStyle w:val="ListBullet"/>
            </w:pPr>
            <w:r w:rsidRPr="0013225E">
              <w:t>accurate estimates including:</w:t>
            </w:r>
          </w:p>
          <w:p w:rsidR="00000000" w:rsidRPr="0013225E" w:rsidP="0013225E">
            <w:pPr>
              <w:pStyle w:val="ListBullet2"/>
            </w:pPr>
            <w:r w:rsidRPr="0013225E">
              <w:t>damage</w:t>
            </w:r>
          </w:p>
          <w:p w:rsidR="00000000" w:rsidRPr="0013225E" w:rsidP="0013225E">
            <w:pPr>
              <w:pStyle w:val="ListBullet2"/>
            </w:pPr>
            <w:r w:rsidRPr="0013225E">
              <w:t>gradient</w:t>
            </w:r>
          </w:p>
          <w:p w:rsidR="00000000" w:rsidRPr="0013225E" w:rsidP="0013225E">
            <w:pPr>
              <w:pStyle w:val="ListBullet2"/>
            </w:pPr>
            <w:r w:rsidRPr="0013225E">
              <w:t>included angles</w:t>
            </w:r>
          </w:p>
          <w:p w:rsidR="00000000" w:rsidRPr="0013225E" w:rsidP="0013225E">
            <w:pPr>
              <w:pStyle w:val="ListBullet2"/>
            </w:pPr>
            <w:r w:rsidRPr="0013225E">
              <w:t>mechanical advantage</w:t>
            </w:r>
          </w:p>
          <w:p w:rsidR="00000000" w:rsidRPr="0013225E" w:rsidP="0013225E">
            <w:pPr>
              <w:pStyle w:val="ListBullet2"/>
            </w:pPr>
            <w:r w:rsidRPr="0013225E">
              <w:t>potential snapping path</w:t>
            </w:r>
          </w:p>
          <w:p w:rsidR="00000000" w:rsidRPr="0013225E" w:rsidP="0013225E">
            <w:pPr>
              <w:pStyle w:val="ListBullet2"/>
            </w:pPr>
            <w:r w:rsidRPr="0013225E">
              <w:t xml:space="preserve">resistance </w:t>
            </w:r>
          </w:p>
          <w:p w:rsidR="00000000" w:rsidRPr="0013225E" w:rsidP="0013225E">
            <w:pPr>
              <w:pStyle w:val="ListBullet2"/>
            </w:pPr>
            <w:r w:rsidRPr="0013225E">
              <w:t xml:space="preserve">rolling </w:t>
            </w:r>
          </w:p>
          <w:p w:rsidR="00000000" w:rsidRPr="0013225E" w:rsidP="0013225E">
            <w:pPr>
              <w:pStyle w:val="ListBullet"/>
            </w:pPr>
            <w:r w:rsidRPr="0013225E">
              <w:t>advanced mathematical operations and techniques</w:t>
            </w:r>
          </w:p>
          <w:p w:rsidR="00000000" w:rsidRPr="0013225E" w:rsidP="0013225E">
            <w:pPr>
              <w:pStyle w:val="ListBullet"/>
            </w:pPr>
            <w:r w:rsidRPr="0013225E">
              <w:t>advanced mathematical problems, and appropriate action and solutions</w:t>
            </w:r>
          </w:p>
          <w:p w:rsidR="00000000" w:rsidRPr="0013225E" w:rsidP="0013225E">
            <w:pPr>
              <w:pStyle w:val="ListBullet"/>
            </w:pPr>
            <w:r w:rsidRPr="0013225E">
              <w:t>brackets, order, divide, multiply, add, subtract (BODMAS)</w:t>
            </w:r>
          </w:p>
          <w:p w:rsidR="00000000" w:rsidRPr="0013225E" w:rsidP="0013225E">
            <w:pPr>
              <w:pStyle w:val="ListBullet"/>
            </w:pPr>
            <w:r w:rsidRPr="0013225E">
              <w:t>complex numeracy around job functions in transport and logistics</w:t>
            </w:r>
          </w:p>
          <w:p w:rsidR="00000000" w:rsidRPr="0013225E" w:rsidP="0013225E">
            <w:pPr>
              <w:pStyle w:val="ListBullet"/>
            </w:pPr>
            <w:r w:rsidRPr="0013225E">
              <w:t>four basic calculations processes:</w:t>
            </w:r>
          </w:p>
          <w:p w:rsidR="00000000" w:rsidRPr="0013225E" w:rsidP="0013225E">
            <w:pPr>
              <w:pStyle w:val="ListBullet2"/>
            </w:pPr>
            <w:r w:rsidRPr="0013225E">
              <w:t>addition</w:t>
            </w:r>
          </w:p>
          <w:p w:rsidR="00000000" w:rsidRPr="0013225E" w:rsidP="0013225E">
            <w:pPr>
              <w:pStyle w:val="ListBullet2"/>
            </w:pPr>
            <w:r w:rsidRPr="0013225E">
              <w:t>division</w:t>
            </w:r>
          </w:p>
          <w:p w:rsidR="00000000" w:rsidRPr="0013225E" w:rsidP="0013225E">
            <w:pPr>
              <w:pStyle w:val="ListBullet2"/>
            </w:pPr>
            <w:r w:rsidRPr="0013225E">
              <w:t>multiplica</w:t>
            </w:r>
            <w:r w:rsidRPr="0013225E">
              <w:t>tion</w:t>
            </w:r>
          </w:p>
          <w:p w:rsidR="00000000" w:rsidRPr="0013225E" w:rsidP="0013225E">
            <w:pPr>
              <w:pStyle w:val="ListBullet2"/>
            </w:pPr>
            <w:r w:rsidRPr="0013225E">
              <w:t>subtraction</w:t>
            </w:r>
          </w:p>
          <w:p w:rsidR="00000000" w:rsidRPr="0013225E" w:rsidP="0013225E">
            <w:pPr>
              <w:pStyle w:val="ListBullet"/>
            </w:pPr>
            <w:r w:rsidRPr="0013225E">
              <w:t>methods of representing advanced and complex mathematical information from data collected</w:t>
            </w:r>
          </w:p>
          <w:p w:rsidR="00000000" w:rsidRPr="0013225E" w:rsidP="0013225E">
            <w:pPr>
              <w:pStyle w:val="ListBullet"/>
            </w:pPr>
            <w:r w:rsidRPr="0013225E">
              <w:t>procedures for identifying and using relevant workplace technology when carrying out workplace calculations</w:t>
            </w:r>
          </w:p>
          <w:p w:rsidR="00000000" w:rsidRPr="0013225E" w:rsidP="0013225E">
            <w:pPr>
              <w:pStyle w:val="ListBullet"/>
            </w:pPr>
            <w:r w:rsidRPr="0013225E">
              <w:t>relevant work health and safety (WHS)/oc</w:t>
            </w:r>
            <w:r w:rsidRPr="0013225E">
              <w:t>cupational health and safety (OHS) responsibilities</w:t>
            </w:r>
          </w:p>
          <w:p w:rsidR="00000000" w:rsidRPr="0013225E" w:rsidP="0013225E">
            <w:pPr>
              <w:pStyle w:val="ListBullet"/>
            </w:pPr>
            <w:r w:rsidRPr="0013225E">
              <w:t>symbols, diagrams and pictorial representations including:</w:t>
            </w:r>
          </w:p>
          <w:p w:rsidR="00000000" w:rsidRPr="0013225E" w:rsidP="0013225E">
            <w:pPr>
              <w:pStyle w:val="ListBullet2"/>
            </w:pPr>
            <w:r w:rsidRPr="0013225E">
              <w:t>graphic representation within transport and logistics operations</w:t>
            </w:r>
          </w:p>
          <w:p w:rsidR="00000000" w:rsidRPr="0013225E" w:rsidP="0013225E">
            <w:pPr>
              <w:pStyle w:val="ListBullet2"/>
            </w:pPr>
            <w:r w:rsidRPr="0013225E">
              <w:t>pie charts</w:t>
            </w:r>
          </w:p>
          <w:p w:rsidR="00000000" w:rsidRPr="0013225E" w:rsidP="0013225E">
            <w:pPr>
              <w:pStyle w:val="ListBullet2"/>
            </w:pPr>
            <w:r w:rsidRPr="0013225E">
              <w:t>spreadsheets</w:t>
            </w:r>
          </w:p>
          <w:p w:rsidR="00000000" w:rsidRPr="0013225E" w:rsidP="0013225E">
            <w:pPr>
              <w:pStyle w:val="ListBullet"/>
            </w:pPr>
            <w:r w:rsidRPr="0013225E">
              <w:t>working load limits (WLL) and safe working limits (SWL) including</w:t>
            </w:r>
            <w:r w:rsidRPr="0013225E">
              <w:rPr>
                <w:rStyle w:val="SpecialBold"/>
              </w:rPr>
              <w:t>:</w:t>
            </w:r>
          </w:p>
          <w:p w:rsidR="00000000" w:rsidRPr="0013225E" w:rsidP="0013225E">
            <w:pPr>
              <w:pStyle w:val="ListBullet2"/>
            </w:pPr>
            <w:r w:rsidRPr="0013225E">
              <w:t>air cushion (shock absorber that uses an air chamber)</w:t>
            </w:r>
          </w:p>
          <w:p w:rsidR="00000000" w:rsidRPr="0013225E" w:rsidP="0013225E">
            <w:pPr>
              <w:pStyle w:val="ListBullet2"/>
            </w:pPr>
            <w:r w:rsidRPr="0013225E">
              <w:t xml:space="preserve">force (leverage) </w:t>
            </w:r>
          </w:p>
          <w:p w:rsidR="00000000" w:rsidRPr="0013225E" w:rsidP="0013225E">
            <w:pPr>
              <w:pStyle w:val="ListBullet2"/>
            </w:pPr>
            <w:r w:rsidRPr="0013225E">
              <w:t>horizontal winch pull</w:t>
            </w:r>
          </w:p>
          <w:p w:rsidR="00000000" w:rsidRPr="0013225E" w:rsidP="0013225E">
            <w:pPr>
              <w:pStyle w:val="ListBullet2"/>
            </w:pPr>
            <w:r w:rsidRPr="0013225E">
              <w:t>mass</w:t>
            </w:r>
          </w:p>
          <w:p w:rsidR="00000000" w:rsidRPr="0013225E" w:rsidP="0013225E">
            <w:pPr>
              <w:pStyle w:val="ListBullet2"/>
            </w:pPr>
            <w:r w:rsidRPr="0013225E">
              <w:t>vertical winch pull</w:t>
            </w:r>
          </w:p>
          <w:p w:rsidR="00000000" w:rsidRPr="0013225E" w:rsidP="0013225E">
            <w:pPr>
              <w:pStyle w:val="ListBullet2"/>
            </w:pPr>
            <w:r w:rsidRPr="0013225E">
              <w:t>winch pull (leverage) required for recovery.</w:t>
            </w:r>
          </w:p>
        </w:tc>
      </w:tr>
    </w:tbl>
    <w:p w:rsidR="00024DFB" w:rsidP="0013225E">
      <w:pPr>
        <w:pStyle w:val="BodyText"/>
      </w:pPr>
    </w:p>
    <w:p w:rsidR="00024DFB" w:rsidP="0013225E">
      <w:pPr>
        <w:pStyle w:val="BodyText"/>
      </w:pPr>
    </w:p>
    <w:p w:rsidR="00000000" w:rsidRPr="0013225E" w:rsidP="0013225E">
      <w:pPr>
        <w:pStyle w:val="Heading1"/>
      </w:pPr>
      <w:bookmarkStart w:id="4" w:name="O_844525"/>
      <w:bookmarkEnd w:id="4"/>
      <w:r w:rsidRPr="0013225E">
        <w:t>Assessment Conditions</w:t>
      </w:r>
    </w:p>
    <w:tbl>
      <w:tblPr>
        <w:tblW w:w="949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8"/>
      </w:tblGrid>
      <w:tr w:rsidTr="0013225E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3225E" w:rsidP="0013225E">
            <w:pPr>
              <w:pStyle w:val="BodyText"/>
            </w:pPr>
            <w:r w:rsidRPr="0013225E">
              <w:t xml:space="preserve">As a minimum, assessors must satisfy applicable regulatory requirements, which include requirements in the </w:t>
            </w:r>
            <w:r w:rsidRPr="0013225E">
              <w:rPr>
                <w:rStyle w:val="Emphasis"/>
              </w:rPr>
              <w:t>Standards for Registered Training Organisations</w:t>
            </w:r>
            <w:r w:rsidRPr="0013225E">
              <w:t xml:space="preserve"> current at the time of assessment. </w:t>
            </w:r>
          </w:p>
          <w:p w:rsidR="00000000" w:rsidRPr="0013225E" w:rsidP="0013225E">
            <w:pPr>
              <w:pStyle w:val="BodyText"/>
            </w:pPr>
            <w:r w:rsidRPr="0013225E">
              <w:t>As a minimum, assessment must satisfy appli</w:t>
            </w:r>
            <w:r w:rsidRPr="0013225E">
              <w:t xml:space="preserve">cable regulatory requirements, which include requirements in the </w:t>
            </w:r>
            <w:r w:rsidRPr="0013225E">
              <w:rPr>
                <w:rStyle w:val="Emphasis"/>
              </w:rPr>
              <w:t>Standards for Registered Training Organisations</w:t>
            </w:r>
            <w:r w:rsidRPr="0013225E">
              <w:t xml:space="preserve"> current at the time of assessment.</w:t>
            </w:r>
          </w:p>
          <w:p w:rsidR="00000000" w:rsidRPr="0013225E" w:rsidP="0013225E">
            <w:pPr>
              <w:pStyle w:val="BodyText"/>
            </w:pPr>
            <w:r w:rsidRPr="0013225E">
              <w:t>Assessment must occur in workplace operational situations where it is appropriate to do so; where this is no</w:t>
            </w:r>
            <w:r w:rsidRPr="0013225E">
              <w:t xml:space="preserve">t appropriate, assessment must occur in simulated workplace operational situations that replicate workplace conditions. </w:t>
            </w:r>
          </w:p>
          <w:p w:rsidR="00000000" w:rsidRPr="0013225E" w:rsidP="0013225E">
            <w:pPr>
              <w:pStyle w:val="BodyText"/>
            </w:pPr>
            <w:r w:rsidRPr="0013225E">
              <w:t>Assessment processes and techniques must be appropriate to the language, literacy and numeracy requirements of the work being performed</w:t>
            </w:r>
            <w:r w:rsidRPr="0013225E">
              <w:t xml:space="preserve"> and the needs of the candidate.</w:t>
            </w:r>
          </w:p>
          <w:p w:rsidR="00000000" w:rsidRPr="0013225E" w:rsidP="0013225E">
            <w:pPr>
              <w:pStyle w:val="BodyText"/>
            </w:pPr>
            <w:r w:rsidRPr="0013225E">
              <w:t>Resources for assessment include:</w:t>
            </w:r>
          </w:p>
          <w:p w:rsidR="00000000" w:rsidRPr="0013225E" w:rsidP="0013225E">
            <w:pPr>
              <w:pStyle w:val="ListBullet"/>
            </w:pPr>
            <w:r w:rsidRPr="0013225E">
              <w:t>a range of relevant exercises, case studies and/or simulations</w:t>
            </w:r>
          </w:p>
          <w:p w:rsidR="00000000" w:rsidRPr="0013225E" w:rsidP="0013225E">
            <w:pPr>
              <w:pStyle w:val="ListBullet"/>
            </w:pPr>
            <w:r w:rsidRPr="0013225E">
              <w:t xml:space="preserve">applicable documentation including workplace procedures, regulations, codes of practice and operation manuals </w:t>
            </w:r>
          </w:p>
          <w:p w:rsidR="00000000" w:rsidRPr="0013225E" w:rsidP="0013225E">
            <w:pPr>
              <w:pStyle w:val="ListBullet"/>
            </w:pPr>
            <w:r w:rsidRPr="0013225E">
              <w:t>relevant mater</w:t>
            </w:r>
            <w:r w:rsidRPr="0013225E">
              <w:t>ials, tools, equipment and personal protective equipment currently used in industry.</w:t>
            </w:r>
          </w:p>
        </w:tc>
      </w:tr>
    </w:tbl>
    <w:p w:rsidR="00024DFB" w:rsidP="0013225E">
      <w:pPr>
        <w:pStyle w:val="BodyText"/>
      </w:pPr>
    </w:p>
    <w:p w:rsidR="00024DFB" w:rsidP="0013225E">
      <w:pPr>
        <w:pStyle w:val="BodyText"/>
      </w:pPr>
    </w:p>
    <w:p w:rsidR="00000000" w:rsidRPr="0013225E" w:rsidP="0013225E">
      <w:pPr>
        <w:pStyle w:val="Heading1"/>
      </w:pPr>
      <w:bookmarkStart w:id="5" w:name="O_844528"/>
      <w:bookmarkEnd w:id="5"/>
      <w:r w:rsidRPr="0013225E">
        <w:t>Links</w:t>
      </w:r>
    </w:p>
    <w:p w:rsidR="00000000" w:rsidRPr="0013225E" w:rsidP="00024DFB">
      <w:pPr>
        <w:pStyle w:val="BodyText"/>
      </w:pPr>
      <w:r w:rsidRPr="0013225E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"https://vetnet.gov.au/Pages/TrainingDocs.aspx?q=df441c6e-213d-43e3-874c-0b3f7036d851" </w:instrText>
      </w:r>
      <w:r>
        <w:fldChar w:fldCharType="separate"/>
      </w:r>
      <w:r w:rsidRPr="00AF6C91">
        <w:rPr>
          <w:rStyle w:val="Hyperlink"/>
        </w:rPr>
        <w:t>https://vetnet.gov.au/Pages/TrainingDocs.aspx?q=df441c6e-213d-43e3-874c-0b3f7036d851</w:t>
      </w:r>
      <w:r>
        <w:fldChar w:fldCharType="end"/>
      </w:r>
    </w:p>
    <w:p w:rsidR="00000000" w:rsidRPr="0013225E" w:rsidP="0013225E"/>
    <w:sectPr w:rsidSect="0013225E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3225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3225E" w:rsidRPr="00024DFB" w:rsidP="00024DF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3225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24DFB" w:rsidP="0013225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024DFB" w:rsidP="0013225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Industry Skills Australia</w:t>
    </w:r>
    <w:r>
      <w:fldChar w:fldCharType="end"/>
    </w:r>
  </w:p>
  <w:p w:rsidR="00024DFB" w:rsidP="0013225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3225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24DFB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13225E" w:rsidRPr="00024DFB" w:rsidP="00024DFB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3225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24DFB" w:rsidRPr="002D2AF8" w:rsidP="0013225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TLIE3026 Carry out advanced calculations in the transport and logistics industry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12 July 2024</w:t>
    </w:r>
    <w:r>
      <w:fldChar w:fldCharType="end"/>
    </w:r>
  </w:p>
  <w:p w:rsidR="00024DFB" w:rsidP="0013225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6652E8F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A072C36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2D3E1A2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3225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3225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3225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3225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3225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3225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3225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3225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3225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3225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3225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3225E"/>
  </w:style>
  <w:style w:type="character" w:customStyle="1" w:styleId="Heading1Char">
    <w:name w:val="Heading 1 Char"/>
    <w:basedOn w:val="DefaultParagraphFont"/>
    <w:link w:val="Heading1"/>
    <w:rsid w:val="0013225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3225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3225E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13225E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13225E"/>
    <w:rPr>
      <w:b/>
      <w:spacing w:val="0"/>
    </w:rPr>
  </w:style>
  <w:style w:type="paragraph" w:styleId="ListBullet2">
    <w:name w:val="List Bullet 2"/>
    <w:basedOn w:val="List2"/>
    <w:rsid w:val="0013225E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13225E"/>
    <w:rPr>
      <w:i/>
    </w:rPr>
  </w:style>
  <w:style w:type="paragraph" w:customStyle="1" w:styleId="SuperHeading">
    <w:name w:val="SuperHeading"/>
    <w:basedOn w:val="Normal"/>
    <w:rsid w:val="0013225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13225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13225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3225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3225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3225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3225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3225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3225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3225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3225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3225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3225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3225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3225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3225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3225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3225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3225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3225E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13225E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13225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13225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3225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3225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13225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3225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3225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3225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3225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3225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3225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3225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3225E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13225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3225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3225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3225E"/>
  </w:style>
  <w:style w:type="paragraph" w:styleId="TableofFigures">
    <w:name w:val="table of figures"/>
    <w:basedOn w:val="Normal"/>
    <w:next w:val="Normal"/>
    <w:semiHidden/>
    <w:rsid w:val="0013225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3225E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13225E"/>
    <w:rPr>
      <w:rFonts w:ascii="Wingdings" w:hAnsi="Wingdings"/>
    </w:rPr>
  </w:style>
  <w:style w:type="paragraph" w:customStyle="1" w:styleId="TableHeading">
    <w:name w:val="Table Heading"/>
    <w:basedOn w:val="HeadingBase"/>
    <w:rsid w:val="0013225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13225E"/>
    <w:rPr>
      <w:color w:val="0033CC"/>
      <w:u w:val="none"/>
    </w:rPr>
  </w:style>
  <w:style w:type="paragraph" w:customStyle="1" w:styleId="BodyTextRight">
    <w:name w:val="Body Text Right"/>
    <w:basedOn w:val="BodyText"/>
    <w:rsid w:val="0013225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3225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3225E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3225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3225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3225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3225E"/>
    <w:rPr>
      <w:sz w:val="32"/>
    </w:rPr>
  </w:style>
  <w:style w:type="paragraph" w:customStyle="1" w:styleId="HeadingProcedure">
    <w:name w:val="Heading Procedure"/>
    <w:basedOn w:val="HeadingBase"/>
    <w:next w:val="Normal"/>
    <w:rsid w:val="0013225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3225E"/>
    <w:pPr>
      <w:spacing w:before="60" w:after="60"/>
    </w:pPr>
  </w:style>
  <w:style w:type="paragraph" w:styleId="ListContinue">
    <w:name w:val="List Continue"/>
    <w:basedOn w:val="List"/>
    <w:rsid w:val="0013225E"/>
    <w:pPr>
      <w:ind w:firstLine="0"/>
    </w:pPr>
  </w:style>
  <w:style w:type="paragraph" w:customStyle="1" w:styleId="ListNote">
    <w:name w:val="List Note"/>
    <w:basedOn w:val="List"/>
    <w:rsid w:val="0013225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3225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3225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3225E"/>
    <w:rPr>
      <w:rFonts w:ascii="Courier New" w:hAnsi="Courier New"/>
    </w:rPr>
  </w:style>
  <w:style w:type="paragraph" w:customStyle="1" w:styleId="NoteBullet">
    <w:name w:val="Note Bullet"/>
    <w:basedOn w:val="Note"/>
    <w:rsid w:val="0013225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3225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3225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3225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3225E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13225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3225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3225E"/>
    <w:rPr>
      <w:b/>
      <w:smallCaps/>
    </w:rPr>
  </w:style>
  <w:style w:type="paragraph" w:customStyle="1" w:styleId="TableListNumber">
    <w:name w:val="Table List Number"/>
    <w:basedOn w:val="ListNumber"/>
    <w:rsid w:val="0013225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3225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3225E"/>
    <w:pPr>
      <w:numPr>
        <w:numId w:val="9"/>
      </w:numPr>
    </w:pPr>
  </w:style>
  <w:style w:type="paragraph" w:customStyle="1" w:styleId="ListAlpha2">
    <w:name w:val="List Alpha 2"/>
    <w:basedOn w:val="List2"/>
    <w:rsid w:val="0013225E"/>
    <w:pPr>
      <w:numPr>
        <w:numId w:val="8"/>
      </w:numPr>
    </w:pPr>
  </w:style>
  <w:style w:type="paragraph" w:styleId="List2">
    <w:name w:val="List 2"/>
    <w:basedOn w:val="BodyText"/>
    <w:rsid w:val="0013225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3225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3225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3225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13225E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13225E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13225E"/>
    <w:pPr>
      <w:numPr>
        <w:numId w:val="4"/>
      </w:numPr>
    </w:pPr>
  </w:style>
  <w:style w:type="paragraph" w:styleId="ListContinue2">
    <w:name w:val="List Continue 2"/>
    <w:basedOn w:val="List2"/>
    <w:rsid w:val="0013225E"/>
    <w:pPr>
      <w:ind w:firstLine="0"/>
    </w:pPr>
  </w:style>
  <w:style w:type="paragraph" w:styleId="ListContinue3">
    <w:name w:val="List Continue 3"/>
    <w:basedOn w:val="List3"/>
    <w:rsid w:val="0013225E"/>
    <w:pPr>
      <w:ind w:left="1021" w:firstLine="0"/>
    </w:pPr>
  </w:style>
  <w:style w:type="paragraph" w:styleId="ListContinue4">
    <w:name w:val="List Continue 4"/>
    <w:basedOn w:val="List4"/>
    <w:rsid w:val="0013225E"/>
    <w:pPr>
      <w:ind w:firstLine="0"/>
    </w:pPr>
  </w:style>
  <w:style w:type="paragraph" w:styleId="ListContinue5">
    <w:name w:val="List Continue 5"/>
    <w:basedOn w:val="List5"/>
    <w:rsid w:val="0013225E"/>
    <w:pPr>
      <w:ind w:firstLine="0"/>
    </w:pPr>
  </w:style>
  <w:style w:type="paragraph" w:styleId="ListNumber3">
    <w:name w:val="List Number 3"/>
    <w:basedOn w:val="List3"/>
    <w:rsid w:val="0013225E"/>
    <w:pPr>
      <w:numPr>
        <w:numId w:val="5"/>
      </w:numPr>
    </w:pPr>
  </w:style>
  <w:style w:type="paragraph" w:styleId="ListNumber4">
    <w:name w:val="List Number 4"/>
    <w:basedOn w:val="List4"/>
    <w:rsid w:val="0013225E"/>
    <w:pPr>
      <w:numPr>
        <w:numId w:val="6"/>
      </w:numPr>
    </w:pPr>
  </w:style>
  <w:style w:type="paragraph" w:styleId="ListNumber5">
    <w:name w:val="List Number 5"/>
    <w:basedOn w:val="List5"/>
    <w:rsid w:val="0013225E"/>
    <w:pPr>
      <w:numPr>
        <w:numId w:val="7"/>
      </w:numPr>
    </w:pPr>
  </w:style>
  <w:style w:type="paragraph" w:styleId="BlockText">
    <w:name w:val="Block Text"/>
    <w:basedOn w:val="Normal"/>
    <w:rsid w:val="0013225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3225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3225E"/>
    <w:rPr>
      <w:sz w:val="16"/>
      <w:vertAlign w:val="superscript"/>
    </w:rPr>
  </w:style>
  <w:style w:type="character" w:customStyle="1" w:styleId="Symbols">
    <w:name w:val="Symbols"/>
    <w:basedOn w:val="DefaultParagraphFont"/>
    <w:rsid w:val="0013225E"/>
    <w:rPr>
      <w:rFonts w:ascii="Symbol" w:hAnsi="Symbol"/>
    </w:rPr>
  </w:style>
  <w:style w:type="character" w:customStyle="1" w:styleId="MenuOptions">
    <w:name w:val="Menu Options"/>
    <w:basedOn w:val="DefaultParagraphFont"/>
    <w:rsid w:val="0013225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3225E"/>
    <w:rPr>
      <w:b/>
    </w:rPr>
  </w:style>
  <w:style w:type="character" w:customStyle="1" w:styleId="Underlined">
    <w:name w:val="Underlined"/>
    <w:basedOn w:val="DefaultParagraphFont"/>
    <w:rsid w:val="0013225E"/>
    <w:rPr>
      <w:u w:val="single"/>
    </w:rPr>
  </w:style>
  <w:style w:type="paragraph" w:customStyle="1" w:styleId="TableBodyTextRight">
    <w:name w:val="Table Body Text Right"/>
    <w:basedOn w:val="TableBodyText"/>
    <w:rsid w:val="0013225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3225E"/>
    <w:rPr>
      <w:sz w:val="18"/>
    </w:rPr>
  </w:style>
  <w:style w:type="paragraph" w:customStyle="1" w:styleId="BodySmallRight">
    <w:name w:val="Body Small Right"/>
    <w:basedOn w:val="BodyTextRight"/>
    <w:rsid w:val="0013225E"/>
    <w:rPr>
      <w:sz w:val="18"/>
      <w:szCs w:val="18"/>
    </w:rPr>
  </w:style>
  <w:style w:type="paragraph" w:customStyle="1" w:styleId="MarginEdition">
    <w:name w:val="Margin Edition"/>
    <w:basedOn w:val="MarginNote"/>
    <w:rsid w:val="0013225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3225E"/>
    <w:rPr>
      <w:sz w:val="2"/>
      <w:szCs w:val="2"/>
    </w:rPr>
  </w:style>
  <w:style w:type="character" w:customStyle="1" w:styleId="Small">
    <w:name w:val="Small"/>
    <w:basedOn w:val="DefaultParagraphFont"/>
    <w:rsid w:val="0013225E"/>
    <w:rPr>
      <w:sz w:val="16"/>
    </w:rPr>
  </w:style>
  <w:style w:type="paragraph" w:customStyle="1" w:styleId="WideTable">
    <w:name w:val="Wide Table"/>
    <w:basedOn w:val="Normal"/>
    <w:rsid w:val="0013225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3225E"/>
  </w:style>
  <w:style w:type="paragraph" w:styleId="Quote">
    <w:name w:val="Quote"/>
    <w:basedOn w:val="Heading1"/>
    <w:link w:val="QuoteChar"/>
    <w:qFormat/>
    <w:rsid w:val="0013225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3225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3225E"/>
    <w:pPr>
      <w:pageBreakBefore/>
    </w:pPr>
  </w:style>
  <w:style w:type="paragraph" w:customStyle="1" w:styleId="Border">
    <w:name w:val="Border"/>
    <w:basedOn w:val="Normal"/>
    <w:qFormat/>
    <w:rsid w:val="0013225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3225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3225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3225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3225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3225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3225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3225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3225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3225E"/>
    <w:rPr>
      <w:u w:val="single"/>
    </w:rPr>
  </w:style>
  <w:style w:type="character" w:customStyle="1" w:styleId="BoldandItalics">
    <w:name w:val="Bold and Italics"/>
    <w:qFormat/>
    <w:rsid w:val="0013225E"/>
    <w:rPr>
      <w:b/>
      <w:i/>
      <w:u w:val="none"/>
    </w:rPr>
  </w:style>
  <w:style w:type="paragraph" w:styleId="BalloonText">
    <w:name w:val="Balloon Text"/>
    <w:basedOn w:val="Normal"/>
    <w:link w:val="BalloonTextChar"/>
    <w:rsid w:val="0013225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3225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3225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3225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3225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3225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13225E"/>
    <w:pPr>
      <w:spacing w:before="0" w:after="0"/>
    </w:pPr>
  </w:style>
  <w:style w:type="paragraph" w:customStyle="1" w:styleId="BodyTextBold">
    <w:name w:val="Body Text Bold"/>
    <w:basedOn w:val="BodyText"/>
    <w:qFormat/>
    <w:rsid w:val="0013225E"/>
    <w:rPr>
      <w:b/>
    </w:rPr>
  </w:style>
  <w:style w:type="character" w:styleId="Hyperlink">
    <w:name w:val="Hyperlink"/>
    <w:basedOn w:val="DefaultParagraphFont"/>
    <w:uiPriority w:val="99"/>
    <w:unhideWhenUsed/>
    <w:rsid w:val="00024DFB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550</Words>
  <Characters>3788</Characters>
  <Application>Microsoft Office Word</Application>
  <DocSecurity>0</DocSecurity>
  <Lines>99</Lines>
  <Paragraphs>77</Paragraphs>
  <ScaleCrop>false</ScaleCrop>
  <Company>Author-it Software Corporation Ltd.</Company>
  <LinksUpToDate>false</LinksUpToDate>
  <CharactersWithSpaces>4261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TLIE3026 Carry out advanced calculations in the transport and logistics industry</dc:title>
  <dc:subject>Approved</dc:subject>
  <dc:creator>Industry Skills Australia</dc:creator>
  <cp:keywords>Release: 1</cp:keywords>
  <dc:description>Review Date: 12 April 2008</dc:description>
  <cp:lastModifiedBy>HSD_TPCMSd.prod</cp:lastModifiedBy>
  <cp:revision>3</cp:revision>
  <dcterms:created xsi:type="dcterms:W3CDTF">2024-07-12T07:21:00Z</dcterms:created>
  <dcterms:modified xsi:type="dcterms:W3CDTF">2024-07-12T07:21:00Z</dcterms:modified>
</cp:coreProperties>
</file>