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059" w:rsidP="00056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TLIE3016 Estimate/calculate load shifting requirements for a mobile crane</w:t>
      </w:r>
      <w:r>
        <w:fldChar w:fldCharType="end"/>
      </w:r>
    </w:p>
    <w:p w:rsidR="00056059" w:rsidP="00056059">
      <w:pPr>
        <w:pStyle w:val="Version"/>
        <w:sectPr w:rsidSect="00EC6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7A2" w:rsidP="00EC67A2">
      <w:pPr>
        <w:pStyle w:val="SuperHeading"/>
      </w:pPr>
      <w:r w:rsidRPr="00EC67A2">
        <w:t>Assessment Requirements for TLIE3016 Estimate/calculate load shifting requirements for a mobile crane</w:t>
      </w:r>
    </w:p>
    <w:p w:rsidR="00000000" w:rsidRPr="00EC67A2" w:rsidP="00EC67A2">
      <w:pPr>
        <w:pStyle w:val="Heading1"/>
      </w:pPr>
      <w:bookmarkStart w:id="1" w:name="O_1196198"/>
      <w:bookmarkEnd w:id="1"/>
      <w:r w:rsidRPr="00EC67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A2" w:rsidP="00EC67A2">
            <w:pPr>
              <w:pStyle w:val="BodyText"/>
            </w:pPr>
            <w:r w:rsidRPr="00EC67A2">
              <w:rPr>
                <w:rStyle w:val="SpecialBold"/>
              </w:rPr>
              <w:t>Release 2.</w:t>
            </w:r>
            <w:r w:rsidRPr="00EC67A2">
              <w:t xml:space="preserve"> This is the second release of this unit of competency in the TLI Transport and Logistics Training Package.</w:t>
            </w:r>
          </w:p>
          <w:p w:rsidR="00000000" w:rsidRPr="00EC67A2" w:rsidP="00EC67A2">
            <w:pPr>
              <w:pStyle w:val="ListBullet2"/>
            </w:pPr>
            <w:r w:rsidRPr="00EC67A2">
              <w:t>Minor changes to unit Application</w:t>
            </w:r>
          </w:p>
          <w:p w:rsidR="00000000" w:rsidRPr="00EC67A2" w:rsidP="00EC67A2">
            <w:pPr>
              <w:pStyle w:val="ListBullet2"/>
            </w:pPr>
            <w:r w:rsidRPr="00EC67A2">
              <w:t>Minor changes to Performance Criteria</w:t>
            </w:r>
          </w:p>
          <w:p w:rsidR="00000000" w:rsidRPr="00EC67A2" w:rsidP="00EC67A2">
            <w:pPr>
              <w:pStyle w:val="ListBullet2"/>
            </w:pPr>
            <w:r w:rsidRPr="00EC67A2">
              <w:t>Minor update to Performance Evidence</w:t>
            </w:r>
          </w:p>
          <w:p w:rsidR="00000000" w:rsidRPr="00EC67A2" w:rsidP="00EC67A2">
            <w:pPr>
              <w:pStyle w:val="ListBullet2"/>
            </w:pPr>
            <w:r w:rsidRPr="00EC67A2">
              <w:t>Minor update to Knowledge Evidence</w:t>
            </w:r>
          </w:p>
          <w:p w:rsidR="00000000" w:rsidP="00EC67A2">
            <w:pPr>
              <w:pStyle w:val="ListBullet2"/>
              <w:rPr>
                <w:lang w:val="en-NZ"/>
              </w:rPr>
            </w:pPr>
            <w:r w:rsidRPr="00EC67A2">
              <w:t>Min</w:t>
            </w:r>
            <w:r w:rsidRPr="00EC67A2">
              <w:t>or changes to Assessment Conditions.</w:t>
            </w:r>
          </w:p>
        </w:tc>
      </w:tr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A2" w:rsidP="00EC67A2">
            <w:pPr>
              <w:pStyle w:val="BodyText"/>
            </w:pPr>
            <w:r w:rsidRPr="00EC67A2">
              <w:rPr>
                <w:rStyle w:val="SpecialBold"/>
              </w:rPr>
              <w:t>Release 1.</w:t>
            </w:r>
            <w:r w:rsidRPr="00EC67A2">
              <w:t xml:space="preserve"> This is the first release of this unit of competency in the TLI Transport and Logistics Training Package.</w:t>
            </w:r>
          </w:p>
        </w:tc>
      </w:tr>
    </w:tbl>
    <w:p w:rsidR="00056059" w:rsidP="00EC67A2">
      <w:pPr>
        <w:pStyle w:val="NoPaddingFontSize1"/>
      </w:pPr>
    </w:p>
    <w:p w:rsidR="00056059" w:rsidP="00EC67A2">
      <w:pPr>
        <w:pStyle w:val="NoPaddingFontSize1"/>
      </w:pPr>
    </w:p>
    <w:p w:rsidR="00000000" w:rsidRPr="00EC67A2" w:rsidP="00EC67A2">
      <w:pPr>
        <w:pStyle w:val="Heading1"/>
      </w:pPr>
      <w:bookmarkStart w:id="2" w:name="O_1196197"/>
      <w:bookmarkEnd w:id="2"/>
      <w:r w:rsidRPr="00EC67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A2">
            <w:pPr>
              <w:pStyle w:val="BodyText"/>
              <w:rPr>
                <w:lang w:val="en-NZ"/>
              </w:rPr>
            </w:pPr>
            <w:r w:rsidRPr="00EC67A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A2" w:rsidP="00EC67A2">
            <w:pPr>
              <w:pStyle w:val="ListBullet"/>
            </w:pPr>
            <w:r w:rsidRPr="00EC67A2">
              <w:t>applying mathematical procedures to estimate load shifting requir</w:t>
            </w:r>
            <w:r w:rsidRPr="00EC67A2">
              <w:t>ements, including:</w:t>
            </w:r>
          </w:p>
          <w:p w:rsidR="00000000" w:rsidRPr="00EC67A2" w:rsidP="00EC67A2">
            <w:pPr>
              <w:pStyle w:val="ListBullet2"/>
            </w:pPr>
            <w:r w:rsidRPr="00EC67A2">
              <w:t>addition</w:t>
            </w:r>
          </w:p>
          <w:p w:rsidR="00000000" w:rsidRPr="00EC67A2" w:rsidP="00EC67A2">
            <w:pPr>
              <w:pStyle w:val="ListBullet2"/>
            </w:pPr>
            <w:r w:rsidRPr="00EC67A2">
              <w:t>division</w:t>
            </w:r>
          </w:p>
          <w:p w:rsidR="00000000" w:rsidRPr="00EC67A2" w:rsidP="00EC67A2">
            <w:pPr>
              <w:pStyle w:val="ListBullet2"/>
            </w:pPr>
            <w:r w:rsidRPr="00EC67A2">
              <w:t>multiplication</w:t>
            </w:r>
          </w:p>
          <w:p w:rsidR="00000000" w:rsidRPr="00EC67A2" w:rsidP="00EC67A2">
            <w:pPr>
              <w:pStyle w:val="ListBullet2"/>
            </w:pPr>
            <w:r w:rsidRPr="00EC67A2">
              <w:t>percentages and fractions</w:t>
            </w:r>
          </w:p>
          <w:p w:rsidR="00000000" w:rsidRPr="00EC67A2" w:rsidP="00EC67A2">
            <w:pPr>
              <w:pStyle w:val="ListBullet2"/>
            </w:pPr>
            <w:r w:rsidRPr="00EC67A2">
              <w:t>subtraction</w:t>
            </w:r>
          </w:p>
          <w:p w:rsidR="00000000" w:rsidRPr="00EC67A2" w:rsidP="00EC67A2">
            <w:pPr>
              <w:pStyle w:val="ListBullet"/>
            </w:pPr>
            <w:r w:rsidRPr="00EC67A2">
              <w:t>applying relevant workplace procedures</w:t>
            </w:r>
          </w:p>
          <w:p w:rsidR="00000000" w:rsidRPr="00EC67A2" w:rsidP="00EC67A2">
            <w:pPr>
              <w:pStyle w:val="ListBullet"/>
            </w:pPr>
            <w:r w:rsidRPr="00EC67A2">
              <w:t>calculating safe working load (SWL)/working load limits (WLL)</w:t>
            </w:r>
          </w:p>
          <w:p w:rsidR="00000000" w:rsidRPr="00EC67A2" w:rsidP="00EC67A2">
            <w:pPr>
              <w:pStyle w:val="ListBullet"/>
            </w:pPr>
            <w:r w:rsidRPr="00EC67A2">
              <w:t xml:space="preserve">completing relevant documentation </w:t>
            </w:r>
          </w:p>
          <w:p w:rsidR="00000000" w:rsidRPr="00EC67A2" w:rsidP="00EC67A2">
            <w:pPr>
              <w:pStyle w:val="ListBullet"/>
            </w:pPr>
            <w:r w:rsidRPr="00EC67A2">
              <w:t>identifying and correctly using equipment, processes and procedures</w:t>
            </w:r>
          </w:p>
          <w:p w:rsidR="00000000" w:rsidRPr="00EC67A2" w:rsidP="00EC67A2">
            <w:pPr>
              <w:pStyle w:val="ListBullet"/>
            </w:pPr>
            <w:r w:rsidRPr="00EC67A2">
              <w:t>interpreting and following operational instructions and prioritising work</w:t>
            </w:r>
          </w:p>
          <w:p w:rsidR="00000000" w:rsidRPr="00EC67A2" w:rsidP="00EC67A2">
            <w:pPr>
              <w:pStyle w:val="ListBullet"/>
            </w:pPr>
            <w:r w:rsidRPr="00EC67A2">
              <w:t>interpreting permit or licence requirements in terms of height, weight and type of lift</w:t>
            </w:r>
          </w:p>
          <w:p w:rsidR="00000000" w:rsidRPr="00EC67A2" w:rsidP="00EC67A2">
            <w:pPr>
              <w:pStyle w:val="ListBullet"/>
            </w:pPr>
            <w:r w:rsidRPr="00EC67A2">
              <w:t>modifying activities depen</w:t>
            </w:r>
            <w:r w:rsidRPr="00EC67A2">
              <w:t>ding on operational contingencies, risk situations and environments</w:t>
            </w:r>
          </w:p>
          <w:p w:rsidR="00000000" w:rsidRPr="00EC67A2" w:rsidP="00EC67A2">
            <w:pPr>
              <w:pStyle w:val="ListBullet"/>
            </w:pPr>
            <w:r w:rsidRPr="00EC67A2">
              <w:t>operating and adapting to differences in equipment in accordance with workplace operating procedures</w:t>
            </w:r>
          </w:p>
          <w:p w:rsidR="00000000" w:rsidRPr="00EC67A2" w:rsidP="00EC67A2">
            <w:pPr>
              <w:pStyle w:val="ListBullet"/>
            </w:pPr>
            <w:r w:rsidRPr="00EC67A2">
              <w:t>reading and interpreting mathematical scales, digital readouts, specifications and cust</w:t>
            </w:r>
            <w:r w:rsidRPr="00EC67A2">
              <w:t>omer or workplace instructions.</w:t>
            </w:r>
          </w:p>
        </w:tc>
      </w:tr>
    </w:tbl>
    <w:p w:rsidR="00000000" w:rsidRPr="00EC67A2" w:rsidP="00EC67A2">
      <w:pPr>
        <w:pStyle w:val="NoPaddingFontSize1"/>
      </w:pPr>
    </w:p>
    <w:p w:rsidR="00000000" w:rsidRPr="00EC67A2" w:rsidP="00EC67A2">
      <w:pPr>
        <w:pStyle w:val="AllowPageBreak"/>
      </w:pPr>
    </w:p>
    <w:p w:rsidR="00000000" w:rsidRPr="00EC67A2" w:rsidP="00EC67A2">
      <w:pPr>
        <w:pStyle w:val="Heading1"/>
      </w:pPr>
      <w:bookmarkStart w:id="3" w:name="O_1196196"/>
      <w:bookmarkEnd w:id="3"/>
      <w:r w:rsidRPr="00EC67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A2">
            <w:pPr>
              <w:pStyle w:val="BodyText"/>
              <w:rPr>
                <w:lang w:val="en-NZ"/>
              </w:rPr>
            </w:pPr>
            <w:r w:rsidRPr="00EC67A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A2" w:rsidP="00EC67A2">
            <w:pPr>
              <w:pStyle w:val="ListBullet"/>
            </w:pPr>
            <w:r w:rsidRPr="00EC67A2">
              <w:t>calculations for SWL/WLL</w:t>
            </w:r>
          </w:p>
          <w:p w:rsidR="00000000" w:rsidRPr="00EC67A2" w:rsidP="00EC67A2">
            <w:pPr>
              <w:pStyle w:val="ListBullet"/>
            </w:pPr>
            <w:r w:rsidRPr="00EC67A2">
              <w:t xml:space="preserve">hazard management that follows the principle of hierarchy of control </w:t>
            </w:r>
          </w:p>
          <w:p w:rsidR="00000000" w:rsidRPr="00EC67A2" w:rsidP="00EC67A2">
            <w:pPr>
              <w:pStyle w:val="ListBullet"/>
            </w:pPr>
            <w:r w:rsidRPr="00EC67A2">
              <w:t>high-risk work licence requirements</w:t>
            </w:r>
          </w:p>
          <w:p w:rsidR="00000000" w:rsidRPr="00EC67A2" w:rsidP="00EC67A2">
            <w:pPr>
              <w:pStyle w:val="ListBullet"/>
            </w:pPr>
            <w:r w:rsidRPr="00EC67A2">
              <w:t>metric and, as required, imperial measurement systems</w:t>
            </w:r>
          </w:p>
          <w:p w:rsidR="00000000" w:rsidRPr="00EC67A2" w:rsidP="00EC67A2">
            <w:pPr>
              <w:pStyle w:val="ListBullet"/>
            </w:pPr>
            <w:r w:rsidRPr="00EC67A2">
              <w:t>mobile crane applications, capacities, configurations, safety hazards a</w:t>
            </w:r>
            <w:r w:rsidRPr="00EC67A2">
              <w:t>nd limitations</w:t>
            </w:r>
          </w:p>
          <w:p w:rsidR="00000000" w:rsidRPr="00EC67A2" w:rsidP="00EC67A2">
            <w:pPr>
              <w:pStyle w:val="ListBullet"/>
            </w:pPr>
            <w:r w:rsidRPr="00EC67A2">
              <w:t>problems that may occur during a lift and associated actions that can be taken to address these problems</w:t>
            </w:r>
          </w:p>
          <w:p w:rsidR="00000000" w:rsidRPr="00EC67A2" w:rsidP="00EC67A2">
            <w:pPr>
              <w:pStyle w:val="ListBullet"/>
            </w:pPr>
            <w:r w:rsidRPr="00EC67A2">
              <w:t>relevant regulations, permit and licence requirements for mobile crane operations</w:t>
            </w:r>
          </w:p>
          <w:p w:rsidR="00000000" w:rsidRPr="00EC67A2" w:rsidP="00EC67A2">
            <w:pPr>
              <w:pStyle w:val="ListBullet"/>
            </w:pPr>
            <w:r w:rsidRPr="00EC67A2">
              <w:t>risks and hazards involved in mobile crane operations and associated actions that can be taken to eliminate or minimise the risk</w:t>
            </w:r>
          </w:p>
          <w:p w:rsidR="00000000" w:rsidRPr="00EC67A2" w:rsidP="00EC67A2">
            <w:pPr>
              <w:pStyle w:val="ListBullet"/>
            </w:pPr>
            <w:r w:rsidRPr="00EC67A2">
              <w:t>workplace procedures concerning estimating and calculating mobile crane load shifting requirements.</w:t>
            </w:r>
          </w:p>
        </w:tc>
      </w:tr>
    </w:tbl>
    <w:p w:rsidR="00000000" w:rsidRPr="00EC67A2" w:rsidP="00EC67A2">
      <w:pPr>
        <w:pStyle w:val="NoPaddingFontSize1"/>
      </w:pPr>
    </w:p>
    <w:p w:rsidR="00000000" w:rsidRPr="00EC67A2" w:rsidP="00EC67A2">
      <w:pPr>
        <w:pStyle w:val="AllowPageBreak"/>
      </w:pPr>
    </w:p>
    <w:p w:rsidR="00000000" w:rsidRPr="00EC67A2" w:rsidP="00EC67A2">
      <w:pPr>
        <w:pStyle w:val="Heading1"/>
      </w:pPr>
      <w:bookmarkStart w:id="4" w:name="O_1196195"/>
      <w:bookmarkEnd w:id="4"/>
      <w:r w:rsidRPr="00EC67A2">
        <w:t>Assess</w:t>
      </w:r>
      <w:r w:rsidRPr="00EC67A2">
        <w:t>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A2" w:rsidP="00EC67A2">
            <w:pPr>
              <w:pStyle w:val="BodyText"/>
            </w:pPr>
            <w:r w:rsidRPr="00EC67A2">
              <w:t xml:space="preserve">Assessors must hold credentials specified within the Standards for Registered Training Organisations current at the time of assessment. </w:t>
            </w:r>
          </w:p>
          <w:p w:rsidR="00000000" w:rsidRPr="00EC67A2" w:rsidP="00EC67A2">
            <w:pPr>
              <w:pStyle w:val="BodyText"/>
            </w:pPr>
            <w:r w:rsidRPr="00EC67A2">
              <w:t>Assessment must satisfy the Principles of Assessment and Rules of Evidence and all regulatory requireme</w:t>
            </w:r>
            <w:r w:rsidRPr="00EC67A2">
              <w:t>nts included within the Standards for Registered Training Organisations current at the time of assessment.</w:t>
            </w:r>
          </w:p>
          <w:p w:rsidR="00000000" w:rsidRPr="00EC67A2" w:rsidP="00EC67A2">
            <w:pPr>
              <w:pStyle w:val="BodyText"/>
            </w:pPr>
            <w:r w:rsidRPr="00EC67A2">
              <w:t>Assessment must occur in workplace operational situations where it is appropriate to do so; where this is not appropriate, assessment must occur in s</w:t>
            </w:r>
            <w:r w:rsidRPr="00EC67A2">
              <w:t>imulated workplace operational situations that replicate workplace conditions.</w:t>
            </w:r>
          </w:p>
          <w:p w:rsidR="00000000" w:rsidRPr="00EC67A2" w:rsidP="00EC67A2">
            <w:pPr>
              <w:pStyle w:val="BodyText"/>
            </w:pPr>
            <w:r w:rsidRPr="00EC67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C67A2" w:rsidP="00EC67A2">
            <w:pPr>
              <w:pStyle w:val="BodyText"/>
            </w:pPr>
            <w:r w:rsidRPr="00EC67A2">
              <w:t>Resources</w:t>
            </w:r>
            <w:r w:rsidRPr="00EC67A2">
              <w:t xml:space="preserve"> for assessment must include access to:</w:t>
            </w:r>
          </w:p>
          <w:p w:rsidR="00000000" w:rsidRPr="00EC67A2" w:rsidP="00EC67A2">
            <w:pPr>
              <w:pStyle w:val="ListBullet"/>
            </w:pPr>
            <w:r w:rsidRPr="00EC67A2">
              <w:t>a range of relevant exercises, case studies and/or simulations</w:t>
            </w:r>
          </w:p>
          <w:p w:rsidR="00000000" w:rsidRPr="00EC67A2" w:rsidP="00EC67A2">
            <w:pPr>
              <w:pStyle w:val="ListBullet"/>
            </w:pPr>
            <w:r w:rsidRPr="00EC67A2">
              <w:t>relevant and appropriate materials, tools, equipment and personal protective equipment (PPE) currently used in industry</w:t>
            </w:r>
          </w:p>
          <w:p w:rsidR="00000000" w:rsidRPr="00EC67A2" w:rsidP="00EC67A2">
            <w:pPr>
              <w:pStyle w:val="ListBullet"/>
            </w:pPr>
            <w:r w:rsidRPr="00EC67A2">
              <w:t>applicable documentation, including legislation, regulations, codes of practice, workplace procedures and operation manuals.</w:t>
            </w:r>
          </w:p>
        </w:tc>
      </w:tr>
    </w:tbl>
    <w:p w:rsidR="00000000" w:rsidRPr="00EC67A2" w:rsidP="00EC67A2">
      <w:pPr>
        <w:pStyle w:val="NoPaddingFontSize1"/>
      </w:pPr>
    </w:p>
    <w:p w:rsidR="00000000" w:rsidRPr="00EC67A2" w:rsidP="00EC67A2">
      <w:pPr>
        <w:pStyle w:val="AllowPageBreak"/>
      </w:pPr>
    </w:p>
    <w:p w:rsidR="00000000" w:rsidRPr="00EC67A2" w:rsidP="00EC67A2">
      <w:pPr>
        <w:pStyle w:val="Heading1"/>
      </w:pPr>
      <w:bookmarkStart w:id="5" w:name="O_1196210"/>
      <w:bookmarkEnd w:id="5"/>
      <w:r w:rsidRPr="00EC67A2">
        <w:t>Links</w:t>
      </w:r>
    </w:p>
    <w:p w:rsidR="00000000" w:rsidRPr="00EC67A2" w:rsidP="00056059">
      <w:pPr>
        <w:pStyle w:val="BodyText"/>
      </w:pPr>
      <w:r w:rsidRPr="00EC6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5B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C67A2" w:rsidP="00EC67A2"/>
    <w:sectPr w:rsidSect="00EC6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A2" w:rsidRPr="00056059" w:rsidP="00056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59" w:rsidP="00EC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059" w:rsidP="00EC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56059" w:rsidP="00EC6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7A2" w:rsidRPr="00056059" w:rsidP="00056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59" w:rsidRPr="002D2AF8" w:rsidP="00EC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TLIE3016 Estimate/calculate load shifting requirements for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56059" w:rsidP="00EC6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AC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63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2D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7A2"/>
  </w:style>
  <w:style w:type="character" w:customStyle="1" w:styleId="Heading1Char">
    <w:name w:val="Heading 1 Char"/>
    <w:basedOn w:val="DefaultParagraphFont"/>
    <w:link w:val="Heading1"/>
    <w:rsid w:val="00EC6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7A2"/>
    <w:rPr>
      <w:b/>
      <w:spacing w:val="0"/>
    </w:rPr>
  </w:style>
  <w:style w:type="paragraph" w:styleId="ListBullet2">
    <w:name w:val="List Bullet 2"/>
    <w:basedOn w:val="List2"/>
    <w:rsid w:val="00EC67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6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6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7A2"/>
    <w:rPr>
      <w:i/>
    </w:rPr>
  </w:style>
  <w:style w:type="paragraph" w:styleId="Caption">
    <w:name w:val="caption"/>
    <w:basedOn w:val="BodyText"/>
    <w:next w:val="Normal"/>
    <w:qFormat/>
    <w:rsid w:val="00EC6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7A2"/>
  </w:style>
  <w:style w:type="paragraph" w:styleId="TableofFigures">
    <w:name w:val="table of figures"/>
    <w:basedOn w:val="Normal"/>
    <w:next w:val="Normal"/>
    <w:semiHidden/>
    <w:rsid w:val="00EC6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67A2"/>
    <w:rPr>
      <w:rFonts w:ascii="Wingdings" w:hAnsi="Wingdings"/>
    </w:rPr>
  </w:style>
  <w:style w:type="paragraph" w:customStyle="1" w:styleId="TableHeading">
    <w:name w:val="Table Heading"/>
    <w:basedOn w:val="HeadingBase"/>
    <w:rsid w:val="00EC6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7A2"/>
    <w:rPr>
      <w:color w:val="0033CC"/>
      <w:u w:val="none"/>
    </w:rPr>
  </w:style>
  <w:style w:type="paragraph" w:customStyle="1" w:styleId="BodyTextRight">
    <w:name w:val="Body Text Right"/>
    <w:basedOn w:val="BodyText"/>
    <w:rsid w:val="00EC6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7A2"/>
    <w:rPr>
      <w:sz w:val="32"/>
    </w:rPr>
  </w:style>
  <w:style w:type="paragraph" w:customStyle="1" w:styleId="HeadingProcedure">
    <w:name w:val="Heading Procedure"/>
    <w:basedOn w:val="HeadingBase"/>
    <w:next w:val="Normal"/>
    <w:rsid w:val="00EC6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7A2"/>
    <w:pPr>
      <w:spacing w:before="60" w:after="60"/>
    </w:pPr>
  </w:style>
  <w:style w:type="paragraph" w:styleId="ListContinue">
    <w:name w:val="List Continue"/>
    <w:basedOn w:val="List"/>
    <w:rsid w:val="00EC67A2"/>
    <w:pPr>
      <w:ind w:firstLine="0"/>
    </w:pPr>
  </w:style>
  <w:style w:type="paragraph" w:customStyle="1" w:styleId="ListNote">
    <w:name w:val="List Note"/>
    <w:basedOn w:val="List"/>
    <w:rsid w:val="00EC6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7A2"/>
    <w:rPr>
      <w:rFonts w:ascii="Courier New" w:hAnsi="Courier New"/>
    </w:rPr>
  </w:style>
  <w:style w:type="paragraph" w:customStyle="1" w:styleId="NoteBullet">
    <w:name w:val="Note Bullet"/>
    <w:basedOn w:val="Note"/>
    <w:rsid w:val="00EC6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6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7A2"/>
    <w:rPr>
      <w:b/>
      <w:smallCaps/>
    </w:rPr>
  </w:style>
  <w:style w:type="paragraph" w:customStyle="1" w:styleId="TableListNumber">
    <w:name w:val="Table List Number"/>
    <w:basedOn w:val="ListNumber"/>
    <w:rsid w:val="00EC6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7A2"/>
    <w:pPr>
      <w:numPr>
        <w:numId w:val="9"/>
      </w:numPr>
    </w:pPr>
  </w:style>
  <w:style w:type="paragraph" w:customStyle="1" w:styleId="ListAlpha2">
    <w:name w:val="List Alpha 2"/>
    <w:basedOn w:val="List2"/>
    <w:rsid w:val="00EC67A2"/>
    <w:pPr>
      <w:numPr>
        <w:numId w:val="8"/>
      </w:numPr>
    </w:pPr>
  </w:style>
  <w:style w:type="paragraph" w:styleId="List2">
    <w:name w:val="List 2"/>
    <w:basedOn w:val="BodyText"/>
    <w:rsid w:val="00EC6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67A2"/>
    <w:pPr>
      <w:numPr>
        <w:numId w:val="4"/>
      </w:numPr>
    </w:pPr>
  </w:style>
  <w:style w:type="paragraph" w:styleId="ListContinue2">
    <w:name w:val="List Continue 2"/>
    <w:basedOn w:val="List2"/>
    <w:rsid w:val="00EC67A2"/>
    <w:pPr>
      <w:ind w:firstLine="0"/>
    </w:pPr>
  </w:style>
  <w:style w:type="paragraph" w:styleId="ListContinue3">
    <w:name w:val="List Continue 3"/>
    <w:basedOn w:val="List3"/>
    <w:rsid w:val="00EC67A2"/>
    <w:pPr>
      <w:ind w:left="1021" w:firstLine="0"/>
    </w:pPr>
  </w:style>
  <w:style w:type="paragraph" w:styleId="ListContinue4">
    <w:name w:val="List Continue 4"/>
    <w:basedOn w:val="List4"/>
    <w:rsid w:val="00EC67A2"/>
    <w:pPr>
      <w:ind w:firstLine="0"/>
    </w:pPr>
  </w:style>
  <w:style w:type="paragraph" w:styleId="ListContinue5">
    <w:name w:val="List Continue 5"/>
    <w:basedOn w:val="List5"/>
    <w:rsid w:val="00EC67A2"/>
    <w:pPr>
      <w:ind w:firstLine="0"/>
    </w:pPr>
  </w:style>
  <w:style w:type="paragraph" w:styleId="ListNumber3">
    <w:name w:val="List Number 3"/>
    <w:basedOn w:val="List3"/>
    <w:rsid w:val="00EC67A2"/>
    <w:pPr>
      <w:numPr>
        <w:numId w:val="5"/>
      </w:numPr>
    </w:pPr>
  </w:style>
  <w:style w:type="paragraph" w:styleId="ListNumber4">
    <w:name w:val="List Number 4"/>
    <w:basedOn w:val="List4"/>
    <w:rsid w:val="00EC67A2"/>
    <w:pPr>
      <w:numPr>
        <w:numId w:val="6"/>
      </w:numPr>
    </w:pPr>
  </w:style>
  <w:style w:type="paragraph" w:styleId="ListNumber5">
    <w:name w:val="List Number 5"/>
    <w:basedOn w:val="List5"/>
    <w:rsid w:val="00EC67A2"/>
    <w:pPr>
      <w:numPr>
        <w:numId w:val="7"/>
      </w:numPr>
    </w:pPr>
  </w:style>
  <w:style w:type="paragraph" w:styleId="BlockText">
    <w:name w:val="Block Text"/>
    <w:basedOn w:val="Normal"/>
    <w:rsid w:val="00EC6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7A2"/>
    <w:rPr>
      <w:sz w:val="16"/>
      <w:vertAlign w:val="superscript"/>
    </w:rPr>
  </w:style>
  <w:style w:type="character" w:customStyle="1" w:styleId="Symbols">
    <w:name w:val="Symbols"/>
    <w:basedOn w:val="DefaultParagraphFont"/>
    <w:rsid w:val="00EC67A2"/>
    <w:rPr>
      <w:rFonts w:ascii="Symbol" w:hAnsi="Symbol"/>
    </w:rPr>
  </w:style>
  <w:style w:type="character" w:customStyle="1" w:styleId="MenuOptions">
    <w:name w:val="Menu Options"/>
    <w:basedOn w:val="DefaultParagraphFont"/>
    <w:rsid w:val="00EC6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7A2"/>
    <w:rPr>
      <w:b/>
    </w:rPr>
  </w:style>
  <w:style w:type="character" w:customStyle="1" w:styleId="Underlined">
    <w:name w:val="Underlined"/>
    <w:basedOn w:val="DefaultParagraphFont"/>
    <w:rsid w:val="00EC67A2"/>
    <w:rPr>
      <w:u w:val="single"/>
    </w:rPr>
  </w:style>
  <w:style w:type="paragraph" w:customStyle="1" w:styleId="TableBodyTextRight">
    <w:name w:val="Table Body Text Right"/>
    <w:basedOn w:val="TableBodyText"/>
    <w:rsid w:val="00EC6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7A2"/>
    <w:rPr>
      <w:sz w:val="18"/>
    </w:rPr>
  </w:style>
  <w:style w:type="paragraph" w:customStyle="1" w:styleId="BodySmallRight">
    <w:name w:val="Body Small Right"/>
    <w:basedOn w:val="BodyTextRight"/>
    <w:rsid w:val="00EC67A2"/>
    <w:rPr>
      <w:sz w:val="18"/>
      <w:szCs w:val="18"/>
    </w:rPr>
  </w:style>
  <w:style w:type="paragraph" w:customStyle="1" w:styleId="MarginEdition">
    <w:name w:val="Margin Edition"/>
    <w:basedOn w:val="MarginNote"/>
    <w:rsid w:val="00EC6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7A2"/>
    <w:rPr>
      <w:sz w:val="2"/>
      <w:szCs w:val="2"/>
    </w:rPr>
  </w:style>
  <w:style w:type="character" w:customStyle="1" w:styleId="Small">
    <w:name w:val="Small"/>
    <w:basedOn w:val="DefaultParagraphFont"/>
    <w:rsid w:val="00EC67A2"/>
    <w:rPr>
      <w:sz w:val="16"/>
    </w:rPr>
  </w:style>
  <w:style w:type="paragraph" w:customStyle="1" w:styleId="WideTable">
    <w:name w:val="Wide Table"/>
    <w:basedOn w:val="Normal"/>
    <w:rsid w:val="00EC6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7A2"/>
  </w:style>
  <w:style w:type="paragraph" w:styleId="Quote">
    <w:name w:val="Quote"/>
    <w:basedOn w:val="Heading1"/>
    <w:link w:val="QuoteChar"/>
    <w:qFormat/>
    <w:rsid w:val="00EC6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7A2"/>
    <w:pPr>
      <w:pageBreakBefore/>
    </w:pPr>
  </w:style>
  <w:style w:type="paragraph" w:customStyle="1" w:styleId="Border">
    <w:name w:val="Border"/>
    <w:basedOn w:val="Normal"/>
    <w:qFormat/>
    <w:rsid w:val="00EC6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7A2"/>
    <w:rPr>
      <w:u w:val="single"/>
    </w:rPr>
  </w:style>
  <w:style w:type="character" w:customStyle="1" w:styleId="BoldandItalics">
    <w:name w:val="Bold and Italics"/>
    <w:qFormat/>
    <w:rsid w:val="00EC67A2"/>
    <w:rPr>
      <w:b/>
      <w:i/>
      <w:u w:val="none"/>
    </w:rPr>
  </w:style>
  <w:style w:type="paragraph" w:styleId="BalloonText">
    <w:name w:val="Balloon Text"/>
    <w:basedOn w:val="Normal"/>
    <w:link w:val="BalloonTextChar"/>
    <w:rsid w:val="00E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7A2"/>
    <w:pPr>
      <w:spacing w:before="0" w:after="0"/>
    </w:pPr>
  </w:style>
  <w:style w:type="paragraph" w:customStyle="1" w:styleId="BodyTextBold">
    <w:name w:val="Body Text Bold"/>
    <w:basedOn w:val="BodyText"/>
    <w:qFormat/>
    <w:rsid w:val="00EC67A2"/>
    <w:rPr>
      <w:b/>
    </w:rPr>
  </w:style>
  <w:style w:type="character" w:styleId="Hyperlink">
    <w:name w:val="Hyperlink"/>
    <w:basedOn w:val="DefaultParagraphFont"/>
    <w:uiPriority w:val="99"/>
    <w:unhideWhenUsed/>
    <w:rsid w:val="00056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3519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TLIE3016 Estimate/calculate load shifting requirements for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