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85E" w:rsidP="00E04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TLIE3012 Consolidate manifest documentation</w:t>
      </w:r>
      <w:r>
        <w:fldChar w:fldCharType="end"/>
      </w:r>
    </w:p>
    <w:p w:rsidR="00E0485E" w:rsidP="00E0485E">
      <w:pPr>
        <w:pStyle w:val="Version"/>
        <w:sectPr w:rsidSect="00F33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B69" w:rsidP="00F33B69">
      <w:pPr>
        <w:pStyle w:val="SuperHeading"/>
      </w:pPr>
      <w:r w:rsidRPr="00F33B69">
        <w:t>TLIE3012 Consolidate manifest documentation</w:t>
      </w:r>
    </w:p>
    <w:p w:rsidR="00000000" w:rsidRPr="00F33B69" w:rsidP="00F33B69">
      <w:pPr>
        <w:pStyle w:val="Heading1"/>
      </w:pPr>
      <w:bookmarkStart w:id="1" w:name="O_844474"/>
      <w:bookmarkEnd w:id="1"/>
      <w:r w:rsidRPr="00F33B69">
        <w:t>Modification History</w:t>
      </w:r>
    </w:p>
    <w:p w:rsidR="00E0485E" w:rsidP="00E0485E">
      <w:pPr>
        <w:pStyle w:val="BodyText"/>
      </w:pPr>
      <w:r w:rsidRPr="00F33B69">
        <w:t>Release 1. This is the first release of this unit of competency in the TLI Transport and Logistics Training Package.</w:t>
      </w:r>
    </w:p>
    <w:p w:rsidR="00000000" w:rsidRPr="00F33B69" w:rsidP="00F33B69">
      <w:pPr>
        <w:pStyle w:val="Heading1"/>
      </w:pPr>
      <w:bookmarkStart w:id="2" w:name="O_844475"/>
      <w:bookmarkEnd w:id="2"/>
      <w:r w:rsidRPr="00F33B6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33B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69" w:rsidP="00F33B69">
            <w:pPr>
              <w:pStyle w:val="BodyText"/>
            </w:pPr>
            <w:r w:rsidRPr="00F33B69">
              <w:t>This unit involves the skills and knowledge required to consolidate manifest documentati</w:t>
            </w:r>
            <w:r w:rsidRPr="00F33B69">
              <w:t>on in accordance with relevant codes of practice and regulations for freight carriage.</w:t>
            </w:r>
          </w:p>
          <w:p w:rsidR="00000000" w:rsidRPr="00F33B69" w:rsidP="00F33B69">
            <w:pPr>
              <w:pStyle w:val="BodyText"/>
            </w:pPr>
            <w:r w:rsidRPr="00F33B69">
              <w:t>It includes identifying and processing documentation required in accordance with workplace procedures.</w:t>
            </w:r>
          </w:p>
          <w:p w:rsidR="00000000" w:rsidRPr="00F33B69" w:rsidP="00F33B69">
            <w:pPr>
              <w:pStyle w:val="BodyText"/>
            </w:pPr>
            <w:r w:rsidRPr="00F33B69">
              <w:t>Work is performed under general supervision, and with duty of care</w:t>
            </w:r>
            <w:r w:rsidRPr="00F33B69">
              <w:t xml:space="preserve"> responsibility for self and others in achieving the prescribed outcomes. </w:t>
            </w:r>
          </w:p>
          <w:p w:rsidR="00000000" w:rsidRPr="00F33B69" w:rsidP="00F33B69">
            <w:pPr>
              <w:pStyle w:val="BodyText"/>
            </w:pPr>
            <w:r w:rsidRPr="00F33B69">
              <w:t>No licensing, legislative or certification requirements apply to this unit at the time of publication.</w:t>
            </w:r>
          </w:p>
        </w:tc>
      </w:tr>
    </w:tbl>
    <w:p w:rsidR="00E0485E" w:rsidP="00F33B69">
      <w:pPr>
        <w:pStyle w:val="BodyText"/>
      </w:pPr>
    </w:p>
    <w:p w:rsidR="00E0485E" w:rsidP="00F33B69">
      <w:pPr>
        <w:pStyle w:val="BodyText"/>
      </w:pPr>
    </w:p>
    <w:p w:rsidR="00000000" w:rsidRPr="00F33B69" w:rsidP="00F33B69">
      <w:pPr>
        <w:pStyle w:val="Heading1"/>
      </w:pPr>
      <w:bookmarkStart w:id="3" w:name="O_844476"/>
      <w:bookmarkEnd w:id="3"/>
      <w:r w:rsidRPr="00F33B69">
        <w:t>Pre-requisite Unit</w:t>
      </w:r>
    </w:p>
    <w:p w:rsidR="00E0485E" w:rsidP="00E0485E">
      <w:pPr>
        <w:pStyle w:val="BodyText"/>
      </w:pPr>
      <w:r w:rsidRPr="00F33B69">
        <w:t>Not applicable.</w:t>
      </w:r>
    </w:p>
    <w:p w:rsidR="00000000" w:rsidRPr="00F33B69" w:rsidP="00F33B69">
      <w:pPr>
        <w:pStyle w:val="Heading1"/>
      </w:pPr>
      <w:bookmarkStart w:id="4" w:name="O_844477"/>
      <w:bookmarkEnd w:id="4"/>
      <w:r w:rsidRPr="00F33B69">
        <w:t>Compe</w:t>
      </w:r>
      <w:r w:rsidRPr="00F33B69">
        <w:t>tency Field</w:t>
      </w:r>
    </w:p>
    <w:p w:rsidR="00E0485E" w:rsidP="00E0485E">
      <w:pPr>
        <w:pStyle w:val="BodyText"/>
      </w:pPr>
      <w:r w:rsidRPr="00F33B69">
        <w:t>E – Communication and Calculation</w:t>
      </w:r>
    </w:p>
    <w:p w:rsidR="00000000" w:rsidRPr="00F33B69" w:rsidP="00F33B69">
      <w:pPr>
        <w:pStyle w:val="Heading1"/>
      </w:pPr>
      <w:bookmarkStart w:id="5" w:name="O_844478"/>
      <w:bookmarkEnd w:id="5"/>
      <w:r w:rsidRPr="00F33B69">
        <w:t>Unit Sector</w:t>
      </w:r>
    </w:p>
    <w:p w:rsidR="00000000" w:rsidRPr="00F33B69" w:rsidP="00E0485E">
      <w:pPr>
        <w:pStyle w:val="BodyText"/>
      </w:pPr>
      <w:r w:rsidRPr="00F33B69">
        <w:t>Not applicable.</w:t>
      </w:r>
    </w:p>
    <w:p w:rsidR="00000000" w:rsidRPr="00F33B69" w:rsidP="00F33B69">
      <w:pPr>
        <w:pStyle w:val="Heading1"/>
      </w:pPr>
      <w:bookmarkStart w:id="6" w:name="O_844479"/>
      <w:bookmarkEnd w:id="6"/>
      <w:r w:rsidRPr="00F33B6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048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69" w:rsidP="00F33B69">
            <w:pPr>
              <w:pStyle w:val="BodyText"/>
            </w:pPr>
            <w:r w:rsidRPr="00F33B6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rPr>
                <w:rStyle w:val="SpecialBold"/>
              </w:rPr>
              <w:t>PERFORMANCE CRITERIA</w:t>
            </w:r>
          </w:p>
        </w:tc>
      </w:tr>
      <w:tr w:rsidTr="00E048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Performance criteria describe the performance needed to demonstrate achievement of the element.</w:t>
            </w:r>
          </w:p>
        </w:tc>
      </w:tr>
      <w:tr w:rsidTr="00E048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69" w:rsidP="00F33B69">
            <w:pPr>
              <w:pStyle w:val="BodyText"/>
            </w:pPr>
            <w:r w:rsidRPr="00F33B6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rPr>
                <w:rStyle w:val="SpecialBold"/>
              </w:rPr>
              <w:t>Identify required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Relevant documentation is collated and checked to ensure all appropriate information has been entered</w:t>
            </w:r>
          </w:p>
        </w:tc>
      </w:tr>
      <w:tr w:rsidTr="00E048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Omissions/discrepancies are noted and reported in accordance with workplace procedures</w:t>
            </w:r>
          </w:p>
        </w:tc>
      </w:tr>
      <w:tr w:rsidTr="00E048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Identification codes, manifest codes, details of dangerous goods declarations and pertinent data are entered into record system in accordance with workplace proce</w:t>
            </w:r>
            <w:r w:rsidRPr="00F33B69">
              <w:t>dures and, as required, statutory requirements</w:t>
            </w:r>
          </w:p>
        </w:tc>
      </w:tr>
      <w:tr w:rsidTr="00E048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Relevant clearances for moving goods/freight are checked and, as required, actions to rectify deficiencies are followed in accordance with workplace procedures</w:t>
            </w:r>
          </w:p>
        </w:tc>
      </w:tr>
      <w:tr w:rsidTr="00E048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69" w:rsidP="00F33B69">
            <w:pPr>
              <w:pStyle w:val="BodyText"/>
            </w:pPr>
            <w:r w:rsidRPr="00F33B6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rPr>
                <w:rStyle w:val="SpecialBold"/>
              </w:rPr>
              <w:t>Process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Files/system are amended including the appending of all relevant data/information</w:t>
            </w:r>
          </w:p>
        </w:tc>
      </w:tr>
      <w:tr w:rsidTr="00E048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69" w:rsidP="00F33B69">
            <w:pPr>
              <w:pStyle w:val="BodyText"/>
            </w:pPr>
            <w:r w:rsidRPr="00F33B69">
              <w:t>Tracking/monitoring processes are completed and documentation is forwarded in accordance with workplace procedures and, as required, statutory requirements</w:t>
            </w:r>
          </w:p>
        </w:tc>
      </w:tr>
    </w:tbl>
    <w:p w:rsidR="00E0485E" w:rsidP="00F33B69">
      <w:pPr>
        <w:pStyle w:val="BodyText"/>
      </w:pPr>
    </w:p>
    <w:p w:rsidR="00E0485E" w:rsidP="00F33B69">
      <w:pPr>
        <w:pStyle w:val="BodyText"/>
      </w:pPr>
    </w:p>
    <w:p w:rsidR="00000000" w:rsidRPr="00F33B69" w:rsidP="00F33B69">
      <w:pPr>
        <w:pStyle w:val="Heading1"/>
      </w:pPr>
      <w:bookmarkStart w:id="7" w:name="O_844480"/>
      <w:bookmarkEnd w:id="7"/>
      <w:r w:rsidRPr="00F33B69">
        <w:t>Foundation Skills</w:t>
      </w:r>
    </w:p>
    <w:p w:rsidR="00E0485E" w:rsidP="00E0485E">
      <w:pPr>
        <w:pStyle w:val="BodyText"/>
      </w:pPr>
      <w:r w:rsidRPr="00F33B69">
        <w:t>Foundation skills essential to performance are explicit in the performance criteria of this unit of competency.</w:t>
      </w:r>
    </w:p>
    <w:p w:rsidR="00000000" w:rsidRPr="00F33B69" w:rsidP="00F33B69">
      <w:pPr>
        <w:pStyle w:val="Heading1"/>
      </w:pPr>
      <w:bookmarkStart w:id="8" w:name="O_844481"/>
      <w:bookmarkEnd w:id="8"/>
      <w:r w:rsidRPr="00F33B69">
        <w:t>Range of Conditions</w:t>
      </w:r>
    </w:p>
    <w:p w:rsidR="00000000" w:rsidRPr="00F33B69" w:rsidP="00E0485E">
      <w:pPr>
        <w:pStyle w:val="BodyText"/>
      </w:pPr>
      <w:r w:rsidRPr="00F33B69">
        <w:t>Range is restricted to essential operating conditions and any other vari</w:t>
      </w:r>
      <w:r w:rsidRPr="00F33B69">
        <w:t>ables essential to the work environment.</w:t>
      </w:r>
    </w:p>
    <w:p w:rsidR="00E0485E" w:rsidP="00E0485E">
      <w:pPr>
        <w:pStyle w:val="BodyText"/>
      </w:pPr>
      <w:r w:rsidRPr="00F33B69">
        <w:t>Non-essential conditions can be found in the Companion Volume Implementation Guide.</w:t>
      </w:r>
    </w:p>
    <w:p w:rsidR="00000000" w:rsidRPr="00F33B69" w:rsidP="00F33B69">
      <w:pPr>
        <w:pStyle w:val="Heading1"/>
      </w:pPr>
      <w:bookmarkStart w:id="9" w:name="O_844482"/>
      <w:bookmarkEnd w:id="9"/>
      <w:r w:rsidRPr="00F33B69">
        <w:t>Unit Mapping Information</w:t>
      </w:r>
    </w:p>
    <w:p w:rsidR="00E0485E" w:rsidP="00E0485E">
      <w:pPr>
        <w:pStyle w:val="BodyText"/>
      </w:pPr>
      <w:r w:rsidRPr="00F33B69">
        <w:t>This unit replaces and is equivalent to TLIE3012A Consolidate manifest documentation.</w:t>
      </w:r>
    </w:p>
    <w:p w:rsidR="00000000" w:rsidRPr="00F33B69" w:rsidP="00F33B69">
      <w:pPr>
        <w:pStyle w:val="Heading1"/>
      </w:pPr>
      <w:bookmarkStart w:id="10" w:name="O_844489"/>
      <w:bookmarkEnd w:id="10"/>
      <w:r w:rsidRPr="00F33B69">
        <w:t>Links</w:t>
      </w:r>
    </w:p>
    <w:p w:rsidR="00000000" w:rsidRPr="00F33B69" w:rsidP="00E0485E">
      <w:pPr>
        <w:pStyle w:val="BodyText"/>
      </w:pPr>
      <w:r w:rsidRPr="00F33B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64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3B69" w:rsidP="00E0485E">
      <w:pPr>
        <w:pStyle w:val="BodyText"/>
        <w:sectPr w:rsidSect="00F33B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3B69" w:rsidP="00F33B69">
      <w:pPr>
        <w:pStyle w:val="SuperHeading"/>
      </w:pPr>
      <w:r w:rsidRPr="00F33B69">
        <w:t>Assessment Requirements for TLIE3012 Cons</w:t>
      </w:r>
      <w:r w:rsidRPr="00F33B69">
        <w:t>olidate manifest documentation</w:t>
      </w:r>
    </w:p>
    <w:p w:rsidR="00000000" w:rsidRPr="00F33B69" w:rsidP="00F33B69">
      <w:pPr>
        <w:pStyle w:val="Heading1"/>
      </w:pPr>
      <w:bookmarkStart w:id="11" w:name="O_844484"/>
      <w:bookmarkEnd w:id="11"/>
      <w:r w:rsidRPr="00F33B69">
        <w:t>Modification History</w:t>
      </w:r>
    </w:p>
    <w:p w:rsidR="00E0485E" w:rsidP="00E0485E">
      <w:pPr>
        <w:pStyle w:val="BodyText"/>
      </w:pPr>
      <w:r w:rsidRPr="00F33B69">
        <w:t>Release 1. This is the first release of this unit of competency in the TLI Transport and Logistics Training Package.</w:t>
      </w:r>
    </w:p>
    <w:p w:rsidR="00000000" w:rsidRPr="00F33B69" w:rsidP="00F33B69">
      <w:pPr>
        <w:pStyle w:val="Heading1"/>
      </w:pPr>
      <w:bookmarkStart w:id="12" w:name="O_844485"/>
      <w:bookmarkEnd w:id="12"/>
      <w:r w:rsidRPr="00F33B69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33B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Evidence required to demonstrate</w:t>
            </w:r>
            <w:r w:rsidRPr="00F33B69">
              <w:t xml:space="preserve"> competence in this unit must be relevant to and satisfy all of the requirements of the elements and performance criteria on at least one occasion and include:</w:t>
            </w:r>
          </w:p>
        </w:tc>
      </w:tr>
      <w:tr w:rsidTr="00F33B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69" w:rsidP="00F33B69">
            <w:pPr>
              <w:pStyle w:val="ListBullet"/>
            </w:pPr>
            <w:r w:rsidRPr="00F33B69">
              <w:t>applying relevant legislation and workplace procedures</w:t>
            </w:r>
          </w:p>
          <w:p w:rsidR="00000000" w:rsidRPr="00F33B69" w:rsidP="00F33B69">
            <w:pPr>
              <w:pStyle w:val="ListBullet"/>
            </w:pPr>
            <w:r w:rsidRPr="00F33B69">
              <w:t xml:space="preserve">communicating effectively with others </w:t>
            </w:r>
          </w:p>
          <w:p w:rsidR="00000000" w:rsidRPr="00F33B69" w:rsidP="00F33B69">
            <w:pPr>
              <w:pStyle w:val="ListBullet"/>
            </w:pPr>
            <w:r w:rsidRPr="00F33B69">
              <w:t xml:space="preserve">completing relevant documentation </w:t>
            </w:r>
          </w:p>
          <w:p w:rsidR="00000000" w:rsidRPr="00F33B69" w:rsidP="00F33B69">
            <w:pPr>
              <w:pStyle w:val="ListBullet"/>
            </w:pPr>
            <w:r w:rsidRPr="00F33B69">
              <w:t xml:space="preserve">implementing contingency plans </w:t>
            </w:r>
          </w:p>
          <w:p w:rsidR="00000000" w:rsidRPr="00F33B69" w:rsidP="00F33B69">
            <w:pPr>
              <w:pStyle w:val="ListBullet"/>
            </w:pPr>
            <w:r w:rsidRPr="00F33B69">
              <w:t>interpreting and following operational instructions and prioritising work</w:t>
            </w:r>
          </w:p>
          <w:p w:rsidR="00000000" w:rsidRPr="00F33B69" w:rsidP="00F33B69">
            <w:pPr>
              <w:pStyle w:val="ListBullet"/>
            </w:pPr>
            <w:r w:rsidRPr="00F33B69">
              <w:t>modifying activities depending on operational contingencies, risk situations and environments</w:t>
            </w:r>
          </w:p>
          <w:p w:rsidR="00000000" w:rsidRPr="00F33B69" w:rsidP="00F33B69">
            <w:pPr>
              <w:pStyle w:val="ListBullet"/>
            </w:pPr>
            <w:r w:rsidRPr="00F33B69">
              <w:t>monitoring work activ</w:t>
            </w:r>
            <w:r w:rsidRPr="00F33B69">
              <w:t>ities in terms of planned schedule</w:t>
            </w:r>
          </w:p>
          <w:p w:rsidR="00000000" w:rsidRPr="00F33B69" w:rsidP="00F33B69">
            <w:pPr>
              <w:pStyle w:val="ListBullet"/>
            </w:pPr>
            <w:r w:rsidRPr="00F33B69">
              <w:t>reporting and/or rectifying identified problems that may arise promptly, in accordance with regulatory requirements and workplace procedures</w:t>
            </w:r>
          </w:p>
          <w:p w:rsidR="00000000" w:rsidRPr="00F33B69" w:rsidP="00F33B69">
            <w:pPr>
              <w:pStyle w:val="ListBullet"/>
            </w:pPr>
            <w:r w:rsidRPr="00F33B69">
              <w:t>reading and interpreting relevant instructions, procedures, information and labe</w:t>
            </w:r>
            <w:r w:rsidRPr="00F33B69">
              <w:t xml:space="preserve">ls </w:t>
            </w:r>
          </w:p>
          <w:p w:rsidR="00000000" w:rsidRPr="00F33B69" w:rsidP="00F33B69">
            <w:pPr>
              <w:pStyle w:val="ListBullet"/>
            </w:pPr>
            <w:r w:rsidRPr="00F33B69">
              <w:t xml:space="preserve">working systematically with required attention to detail. </w:t>
            </w:r>
          </w:p>
        </w:tc>
      </w:tr>
    </w:tbl>
    <w:p w:rsidR="00E0485E" w:rsidP="00F33B69">
      <w:pPr>
        <w:pStyle w:val="BodyText"/>
      </w:pPr>
    </w:p>
    <w:p w:rsidR="00E0485E" w:rsidP="00F33B69">
      <w:pPr>
        <w:pStyle w:val="BodyText"/>
      </w:pPr>
    </w:p>
    <w:p w:rsidR="00000000" w:rsidRPr="00F33B69" w:rsidP="00F33B69">
      <w:pPr>
        <w:pStyle w:val="Heading1"/>
      </w:pPr>
      <w:bookmarkStart w:id="13" w:name="O_844486"/>
      <w:bookmarkEnd w:id="13"/>
      <w:r w:rsidRPr="00F33B69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33B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69">
            <w:pPr>
              <w:pStyle w:val="BodyText"/>
              <w:rPr>
                <w:lang w:val="en-NZ"/>
              </w:rPr>
            </w:pPr>
            <w:r w:rsidRPr="00F33B6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33B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69" w:rsidP="00F33B69">
            <w:pPr>
              <w:pStyle w:val="ListBullet"/>
            </w:pPr>
            <w:r w:rsidRPr="00F33B69">
              <w:t>operational procedures for document control</w:t>
            </w:r>
          </w:p>
          <w:p w:rsidR="00000000" w:rsidRPr="00F33B69" w:rsidP="00F33B69">
            <w:pPr>
              <w:pStyle w:val="ListBullet"/>
            </w:pPr>
            <w:r w:rsidRPr="00F33B69">
              <w:t>relevant codes of practice and legislative requirements including current Australian Dangerous Goods (ADG) Code and relevant freight regulations</w:t>
            </w:r>
          </w:p>
          <w:p w:rsidR="00000000" w:rsidRPr="00F33B69" w:rsidP="00F33B69">
            <w:pPr>
              <w:pStyle w:val="ListBullet"/>
            </w:pPr>
            <w:r w:rsidRPr="00F33B69">
              <w:t>sources of information/documentation needed when consolidating manifests</w:t>
            </w:r>
          </w:p>
          <w:p w:rsidR="00000000" w:rsidRPr="00F33B69" w:rsidP="00F33B69">
            <w:pPr>
              <w:pStyle w:val="ListBullet"/>
            </w:pPr>
            <w:r w:rsidRPr="00F33B69">
              <w:t>workplace procedures to be followed wh</w:t>
            </w:r>
            <w:r w:rsidRPr="00F33B69">
              <w:t>en consolidating manifests.</w:t>
            </w:r>
          </w:p>
        </w:tc>
      </w:tr>
    </w:tbl>
    <w:p w:rsidR="00E0485E" w:rsidP="00F33B69">
      <w:pPr>
        <w:pStyle w:val="BodyText"/>
      </w:pPr>
    </w:p>
    <w:p w:rsidR="00E0485E" w:rsidP="00F33B69">
      <w:pPr>
        <w:pStyle w:val="BodyText"/>
      </w:pPr>
    </w:p>
    <w:p w:rsidR="00000000" w:rsidRPr="00F33B69" w:rsidP="00F33B69">
      <w:pPr>
        <w:pStyle w:val="Heading1"/>
      </w:pPr>
      <w:bookmarkStart w:id="14" w:name="O_844487"/>
      <w:bookmarkEnd w:id="14"/>
      <w:r w:rsidRPr="00F33B69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33B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69" w:rsidP="00F33B69">
            <w:pPr>
              <w:pStyle w:val="BodyText"/>
            </w:pPr>
            <w:r w:rsidRPr="00F33B69">
              <w:t xml:space="preserve">As a minimum, assessors must satisfy applicable regulatory requirements, which include requirements in the </w:t>
            </w:r>
            <w:r w:rsidRPr="00F33B69">
              <w:rPr>
                <w:rStyle w:val="Emphasis"/>
              </w:rPr>
              <w:t>Standards for Registered Training Organisations</w:t>
            </w:r>
            <w:r w:rsidRPr="00F33B69">
              <w:t xml:space="preserve"> current at the time of assessme</w:t>
            </w:r>
            <w:r w:rsidRPr="00F33B69">
              <w:t xml:space="preserve">nt. </w:t>
            </w:r>
          </w:p>
          <w:p w:rsidR="00000000" w:rsidRPr="00F33B69" w:rsidP="00F33B69">
            <w:pPr>
              <w:pStyle w:val="BodyText"/>
            </w:pPr>
            <w:r w:rsidRPr="00F33B69">
              <w:t xml:space="preserve">As a minimum, assessment must satisfy applicable regulatory requirements, which include requirements in the </w:t>
            </w:r>
            <w:r w:rsidRPr="00F33B69">
              <w:rPr>
                <w:rStyle w:val="Emphasis"/>
              </w:rPr>
              <w:t>Standards for Registered Training Organisations</w:t>
            </w:r>
            <w:r w:rsidRPr="00F33B69">
              <w:t xml:space="preserve"> current at the time of assessment.</w:t>
            </w:r>
          </w:p>
          <w:p w:rsidR="00000000" w:rsidRPr="00F33B69" w:rsidP="00F33B69">
            <w:pPr>
              <w:pStyle w:val="BodyText"/>
            </w:pPr>
            <w:r w:rsidRPr="00F33B69">
              <w:t>Assessment must occur in workplace operational situations wh</w:t>
            </w:r>
            <w:r w:rsidRPr="00F33B69">
              <w:t xml:space="preserve">ere it is appropriate to do so; where this is not appropriate, assessment must occur in simulated workplace operational situations that replicate workplace conditions. </w:t>
            </w:r>
          </w:p>
          <w:p w:rsidR="00000000" w:rsidRPr="00F33B69" w:rsidP="00F33B69">
            <w:pPr>
              <w:pStyle w:val="BodyText"/>
            </w:pPr>
            <w:r w:rsidRPr="00F33B69">
              <w:t>Assessment processes and techniques must be appropriate to the language, literacy and n</w:t>
            </w:r>
            <w:r w:rsidRPr="00F33B69">
              <w:t>umeracy requirements of the work being performed and the needs of the candidate.</w:t>
            </w:r>
          </w:p>
          <w:p w:rsidR="00000000" w:rsidRPr="00F33B69" w:rsidP="00F33B69">
            <w:pPr>
              <w:pStyle w:val="BodyText"/>
            </w:pPr>
            <w:r w:rsidRPr="00F33B69">
              <w:t>Resources for assessment include:</w:t>
            </w:r>
          </w:p>
          <w:p w:rsidR="00000000" w:rsidRPr="00F33B69" w:rsidP="00F33B69">
            <w:pPr>
              <w:pStyle w:val="ListBullet"/>
            </w:pPr>
            <w:r w:rsidRPr="00F33B69">
              <w:t>a range of relevant exercises, case studies and/or simulations</w:t>
            </w:r>
          </w:p>
          <w:p w:rsidR="00000000" w:rsidRPr="00F33B69" w:rsidP="00F33B69">
            <w:pPr>
              <w:pStyle w:val="ListBullet"/>
            </w:pPr>
            <w:r w:rsidRPr="00F33B69">
              <w:t xml:space="preserve">applicable documentation including workplace procedures, regulations, codes of practice and operation manuals </w:t>
            </w:r>
          </w:p>
          <w:p w:rsidR="00000000" w:rsidRPr="00F33B69" w:rsidP="00F33B69">
            <w:pPr>
              <w:pStyle w:val="ListBullet"/>
            </w:pPr>
            <w:r w:rsidRPr="00F33B69">
              <w:t>relevant materials, tools, equipment and personal protective equipment currently used in industry.</w:t>
            </w:r>
          </w:p>
        </w:tc>
      </w:tr>
    </w:tbl>
    <w:p w:rsidR="00E0485E" w:rsidP="00F33B69">
      <w:pPr>
        <w:pStyle w:val="BodyText"/>
      </w:pPr>
    </w:p>
    <w:p w:rsidR="00E0485E" w:rsidP="00F33B69">
      <w:pPr>
        <w:pStyle w:val="BodyText"/>
      </w:pPr>
    </w:p>
    <w:p w:rsidR="00000000" w:rsidRPr="00F33B69" w:rsidP="00F33B69">
      <w:pPr>
        <w:pStyle w:val="Heading1"/>
      </w:pPr>
      <w:bookmarkStart w:id="15" w:name="O_844490"/>
      <w:bookmarkEnd w:id="15"/>
      <w:r w:rsidRPr="00F33B69">
        <w:t>Links</w:t>
      </w:r>
    </w:p>
    <w:p w:rsidR="00000000" w:rsidRPr="00F33B69" w:rsidP="00E0485E">
      <w:pPr>
        <w:pStyle w:val="BodyText"/>
      </w:pPr>
      <w:r w:rsidRPr="00F33B69">
        <w:t>Companion Volume imp</w:t>
      </w:r>
      <w:r w:rsidRPr="00F33B69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64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3B69" w:rsidP="00F33B69"/>
    <w:sectPr w:rsidSect="00F33B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69" w:rsidRPr="00E0485E" w:rsidP="00E04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5E" w:rsidP="00F33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85E" w:rsidP="00F33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0485E" w:rsidP="00F33B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69" w:rsidP="00F33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485E">
      <w:t>Approved</w:t>
    </w:r>
    <w:r w:rsidR="00E048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48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485E">
      <w:rPr>
        <w:noProof/>
      </w:rPr>
      <w:t>4</w:t>
    </w:r>
    <w:r>
      <w:rPr>
        <w:noProof/>
      </w:rPr>
      <w:fldChar w:fldCharType="end"/>
    </w:r>
  </w:p>
  <w:p w:rsidR="00F33B69" w:rsidP="00F33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48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485E">
      <w:t>Industry Skills Australia</w:t>
    </w:r>
    <w:r w:rsidR="00E0485E">
      <w:fldChar w:fldCharType="end"/>
    </w:r>
  </w:p>
  <w:p w:rsidR="00F33B69" w:rsidP="00F33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B69" w:rsidRPr="00E0485E" w:rsidP="00E04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5E" w:rsidRPr="002D2AF8" w:rsidP="00F33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TLIE3012 Consolidate manifest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485E" w:rsidP="00F33B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69" w:rsidRPr="002D2AF8" w:rsidP="00F33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485E">
      <w:t>TLIE3012 Consolidate manifest documentation</w:t>
    </w:r>
    <w:r w:rsidR="00E048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485E">
      <w:rPr>
        <w:noProof/>
      </w:rPr>
      <w:t>2 March 2025</w:t>
    </w:r>
    <w:r>
      <w:fldChar w:fldCharType="end"/>
    </w:r>
  </w:p>
  <w:p w:rsidR="00F33B69" w:rsidP="00F33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BAF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0C90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B69"/>
  </w:style>
  <w:style w:type="character" w:customStyle="1" w:styleId="Heading1Char">
    <w:name w:val="Heading 1 Char"/>
    <w:basedOn w:val="DefaultParagraphFont"/>
    <w:link w:val="Heading1"/>
    <w:rsid w:val="00F33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B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B69"/>
    <w:rPr>
      <w:b/>
      <w:spacing w:val="0"/>
    </w:rPr>
  </w:style>
  <w:style w:type="character" w:styleId="Emphasis">
    <w:name w:val="Emphasis"/>
    <w:basedOn w:val="DefaultParagraphFont"/>
    <w:qFormat/>
    <w:rsid w:val="00F33B69"/>
    <w:rPr>
      <w:i/>
    </w:rPr>
  </w:style>
  <w:style w:type="paragraph" w:customStyle="1" w:styleId="SuperHeading">
    <w:name w:val="SuperHeading"/>
    <w:basedOn w:val="Normal"/>
    <w:rsid w:val="00F33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B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B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3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B69"/>
  </w:style>
  <w:style w:type="paragraph" w:styleId="TableofFigures">
    <w:name w:val="table of figures"/>
    <w:basedOn w:val="Normal"/>
    <w:next w:val="Normal"/>
    <w:semiHidden/>
    <w:rsid w:val="00F33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B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3B69"/>
    <w:rPr>
      <w:rFonts w:ascii="Wingdings" w:hAnsi="Wingdings"/>
    </w:rPr>
  </w:style>
  <w:style w:type="paragraph" w:customStyle="1" w:styleId="TableHeading">
    <w:name w:val="Table Heading"/>
    <w:basedOn w:val="HeadingBase"/>
    <w:rsid w:val="00F33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B69"/>
    <w:rPr>
      <w:color w:val="0033CC"/>
      <w:u w:val="none"/>
    </w:rPr>
  </w:style>
  <w:style w:type="paragraph" w:customStyle="1" w:styleId="BodyTextRight">
    <w:name w:val="Body Text Right"/>
    <w:basedOn w:val="BodyText"/>
    <w:rsid w:val="00F33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B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B69"/>
    <w:rPr>
      <w:sz w:val="32"/>
    </w:rPr>
  </w:style>
  <w:style w:type="paragraph" w:customStyle="1" w:styleId="HeadingProcedure">
    <w:name w:val="Heading Procedure"/>
    <w:basedOn w:val="HeadingBase"/>
    <w:next w:val="Normal"/>
    <w:rsid w:val="00F33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B69"/>
    <w:pPr>
      <w:spacing w:before="60" w:after="60"/>
    </w:pPr>
  </w:style>
  <w:style w:type="paragraph" w:styleId="ListContinue">
    <w:name w:val="List Continue"/>
    <w:basedOn w:val="List"/>
    <w:rsid w:val="00F33B69"/>
    <w:pPr>
      <w:ind w:firstLine="0"/>
    </w:pPr>
  </w:style>
  <w:style w:type="paragraph" w:customStyle="1" w:styleId="ListNote">
    <w:name w:val="List Note"/>
    <w:basedOn w:val="List"/>
    <w:rsid w:val="00F33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B69"/>
    <w:rPr>
      <w:rFonts w:ascii="Courier New" w:hAnsi="Courier New"/>
    </w:rPr>
  </w:style>
  <w:style w:type="paragraph" w:customStyle="1" w:styleId="NoteBullet">
    <w:name w:val="Note Bullet"/>
    <w:basedOn w:val="Note"/>
    <w:rsid w:val="00F33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B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3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B69"/>
    <w:rPr>
      <w:b/>
      <w:smallCaps/>
    </w:rPr>
  </w:style>
  <w:style w:type="paragraph" w:customStyle="1" w:styleId="TableListNumber">
    <w:name w:val="Table List Number"/>
    <w:basedOn w:val="ListNumber"/>
    <w:rsid w:val="00F33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B69"/>
    <w:pPr>
      <w:numPr>
        <w:numId w:val="8"/>
      </w:numPr>
    </w:pPr>
  </w:style>
  <w:style w:type="paragraph" w:customStyle="1" w:styleId="ListAlpha2">
    <w:name w:val="List Alpha 2"/>
    <w:basedOn w:val="List2"/>
    <w:rsid w:val="00F33B69"/>
    <w:pPr>
      <w:numPr>
        <w:numId w:val="7"/>
      </w:numPr>
    </w:pPr>
  </w:style>
  <w:style w:type="paragraph" w:styleId="List2">
    <w:name w:val="List 2"/>
    <w:basedOn w:val="BodyText"/>
    <w:rsid w:val="00F33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B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B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3B69"/>
    <w:pPr>
      <w:numPr>
        <w:numId w:val="3"/>
      </w:numPr>
    </w:pPr>
  </w:style>
  <w:style w:type="paragraph" w:styleId="ListContinue2">
    <w:name w:val="List Continue 2"/>
    <w:basedOn w:val="List2"/>
    <w:rsid w:val="00F33B69"/>
    <w:pPr>
      <w:ind w:firstLine="0"/>
    </w:pPr>
  </w:style>
  <w:style w:type="paragraph" w:styleId="ListContinue3">
    <w:name w:val="List Continue 3"/>
    <w:basedOn w:val="List3"/>
    <w:rsid w:val="00F33B69"/>
    <w:pPr>
      <w:ind w:left="1021" w:firstLine="0"/>
    </w:pPr>
  </w:style>
  <w:style w:type="paragraph" w:styleId="ListContinue4">
    <w:name w:val="List Continue 4"/>
    <w:basedOn w:val="List4"/>
    <w:rsid w:val="00F33B69"/>
    <w:pPr>
      <w:ind w:firstLine="0"/>
    </w:pPr>
  </w:style>
  <w:style w:type="paragraph" w:styleId="ListContinue5">
    <w:name w:val="List Continue 5"/>
    <w:basedOn w:val="List5"/>
    <w:rsid w:val="00F33B69"/>
    <w:pPr>
      <w:ind w:firstLine="0"/>
    </w:pPr>
  </w:style>
  <w:style w:type="paragraph" w:styleId="ListNumber3">
    <w:name w:val="List Number 3"/>
    <w:basedOn w:val="List3"/>
    <w:rsid w:val="00F33B69"/>
    <w:pPr>
      <w:numPr>
        <w:numId w:val="4"/>
      </w:numPr>
    </w:pPr>
  </w:style>
  <w:style w:type="paragraph" w:styleId="ListNumber4">
    <w:name w:val="List Number 4"/>
    <w:basedOn w:val="List4"/>
    <w:rsid w:val="00F33B69"/>
    <w:pPr>
      <w:numPr>
        <w:numId w:val="5"/>
      </w:numPr>
    </w:pPr>
  </w:style>
  <w:style w:type="paragraph" w:styleId="ListNumber5">
    <w:name w:val="List Number 5"/>
    <w:basedOn w:val="List5"/>
    <w:rsid w:val="00F33B69"/>
    <w:pPr>
      <w:numPr>
        <w:numId w:val="6"/>
      </w:numPr>
    </w:pPr>
  </w:style>
  <w:style w:type="paragraph" w:styleId="BlockText">
    <w:name w:val="Block Text"/>
    <w:basedOn w:val="Normal"/>
    <w:rsid w:val="00F33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B69"/>
    <w:rPr>
      <w:sz w:val="16"/>
      <w:vertAlign w:val="superscript"/>
    </w:rPr>
  </w:style>
  <w:style w:type="character" w:customStyle="1" w:styleId="Symbols">
    <w:name w:val="Symbols"/>
    <w:basedOn w:val="DefaultParagraphFont"/>
    <w:rsid w:val="00F33B69"/>
    <w:rPr>
      <w:rFonts w:ascii="Symbol" w:hAnsi="Symbol"/>
    </w:rPr>
  </w:style>
  <w:style w:type="character" w:customStyle="1" w:styleId="MenuOptions">
    <w:name w:val="Menu Options"/>
    <w:basedOn w:val="DefaultParagraphFont"/>
    <w:rsid w:val="00F33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B69"/>
    <w:rPr>
      <w:b/>
    </w:rPr>
  </w:style>
  <w:style w:type="character" w:customStyle="1" w:styleId="Underlined">
    <w:name w:val="Underlined"/>
    <w:basedOn w:val="DefaultParagraphFont"/>
    <w:rsid w:val="00F33B69"/>
    <w:rPr>
      <w:u w:val="single"/>
    </w:rPr>
  </w:style>
  <w:style w:type="paragraph" w:customStyle="1" w:styleId="TableBodyTextRight">
    <w:name w:val="Table Body Text Right"/>
    <w:basedOn w:val="TableBodyText"/>
    <w:rsid w:val="00F33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B69"/>
    <w:rPr>
      <w:sz w:val="18"/>
    </w:rPr>
  </w:style>
  <w:style w:type="paragraph" w:customStyle="1" w:styleId="BodySmallRight">
    <w:name w:val="Body Small Right"/>
    <w:basedOn w:val="BodyTextRight"/>
    <w:rsid w:val="00F33B69"/>
    <w:rPr>
      <w:sz w:val="18"/>
      <w:szCs w:val="18"/>
    </w:rPr>
  </w:style>
  <w:style w:type="paragraph" w:customStyle="1" w:styleId="MarginEdition">
    <w:name w:val="Margin Edition"/>
    <w:basedOn w:val="MarginNote"/>
    <w:rsid w:val="00F33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B69"/>
    <w:rPr>
      <w:sz w:val="2"/>
      <w:szCs w:val="2"/>
    </w:rPr>
  </w:style>
  <w:style w:type="character" w:customStyle="1" w:styleId="Small">
    <w:name w:val="Small"/>
    <w:basedOn w:val="DefaultParagraphFont"/>
    <w:rsid w:val="00F33B69"/>
    <w:rPr>
      <w:sz w:val="16"/>
    </w:rPr>
  </w:style>
  <w:style w:type="paragraph" w:customStyle="1" w:styleId="WideTable">
    <w:name w:val="Wide Table"/>
    <w:basedOn w:val="Normal"/>
    <w:rsid w:val="00F33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B69"/>
  </w:style>
  <w:style w:type="paragraph" w:styleId="Quote">
    <w:name w:val="Quote"/>
    <w:basedOn w:val="Heading1"/>
    <w:link w:val="QuoteChar"/>
    <w:qFormat/>
    <w:rsid w:val="00F33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B69"/>
    <w:pPr>
      <w:pageBreakBefore/>
    </w:pPr>
  </w:style>
  <w:style w:type="paragraph" w:customStyle="1" w:styleId="Border">
    <w:name w:val="Border"/>
    <w:basedOn w:val="Normal"/>
    <w:qFormat/>
    <w:rsid w:val="00F33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B69"/>
    <w:rPr>
      <w:u w:val="single"/>
    </w:rPr>
  </w:style>
  <w:style w:type="character" w:customStyle="1" w:styleId="BoldandItalics">
    <w:name w:val="Bold and Italics"/>
    <w:qFormat/>
    <w:rsid w:val="00F33B69"/>
    <w:rPr>
      <w:b/>
      <w:i/>
      <w:u w:val="none"/>
    </w:rPr>
  </w:style>
  <w:style w:type="paragraph" w:styleId="BalloonText">
    <w:name w:val="Balloon Text"/>
    <w:basedOn w:val="Normal"/>
    <w:link w:val="BalloonTextChar"/>
    <w:rsid w:val="00F33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B69"/>
    <w:pPr>
      <w:spacing w:before="0" w:after="0"/>
    </w:pPr>
  </w:style>
  <w:style w:type="paragraph" w:customStyle="1" w:styleId="BodyTextBold">
    <w:name w:val="Body Text Bold"/>
    <w:basedOn w:val="BodyText"/>
    <w:qFormat/>
    <w:rsid w:val="00F33B69"/>
    <w:rPr>
      <w:b/>
    </w:rPr>
  </w:style>
  <w:style w:type="character" w:styleId="Hyperlink">
    <w:name w:val="Hyperlink"/>
    <w:basedOn w:val="DefaultParagraphFont"/>
    <w:uiPriority w:val="99"/>
    <w:unhideWhenUsed/>
    <w:rsid w:val="00E04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5031</Characters>
  <Application>Microsoft Office Word</Application>
  <DocSecurity>0</DocSecurity>
  <Lines>157</Lines>
  <Paragraphs>92</Paragraphs>
  <ScaleCrop>false</ScaleCrop>
  <Company>Author-it Software Corporation Ltd.</Company>
  <LinksUpToDate>false</LinksUpToDate>
  <CharactersWithSpaces>5667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TLIE3012 Consolidate manifest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