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5F2" w:rsidP="00C11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TLIE3009 Use pilot and escort communication</w:t>
      </w:r>
      <w:r>
        <w:fldChar w:fldCharType="end"/>
      </w:r>
    </w:p>
    <w:p w:rsidR="00C115F2" w:rsidP="00C115F2">
      <w:pPr>
        <w:pStyle w:val="Version"/>
        <w:sectPr w:rsidSect="006C0C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0CD5" w:rsidP="006C0CD5">
      <w:pPr>
        <w:pStyle w:val="SuperHeading"/>
      </w:pPr>
      <w:r w:rsidRPr="006C0CD5">
        <w:t>TLIE3009 Use pilot and escort communication</w:t>
      </w:r>
    </w:p>
    <w:p w:rsidR="00000000" w:rsidRPr="006C0CD5" w:rsidP="006C0CD5">
      <w:pPr>
        <w:pStyle w:val="Heading1"/>
      </w:pPr>
      <w:bookmarkStart w:id="1" w:name="O_1196226"/>
      <w:bookmarkEnd w:id="1"/>
      <w:r w:rsidRPr="006C0C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rPr>
                <w:rStyle w:val="SpecialBold"/>
              </w:rPr>
              <w:t>Release 2.</w:t>
            </w:r>
            <w:r w:rsidRPr="006C0CD5">
              <w:t xml:space="preserve"> This is the second release of this unit of competency in the TLI Transport and Logistics Training Package.  </w:t>
            </w:r>
          </w:p>
          <w:p w:rsidR="00000000" w:rsidRPr="006C0CD5" w:rsidP="006C0CD5">
            <w:pPr>
              <w:pStyle w:val="ListBullet2"/>
            </w:pPr>
            <w:r w:rsidRPr="006C0CD5">
              <w:t>Minor changes to unit Application</w:t>
            </w:r>
          </w:p>
          <w:p w:rsidR="00000000" w:rsidRPr="006C0CD5" w:rsidP="006C0CD5">
            <w:pPr>
              <w:pStyle w:val="ListBullet2"/>
            </w:pPr>
            <w:r w:rsidRPr="006C0CD5">
              <w:t>Minor changes to Performance Criteria</w:t>
            </w:r>
          </w:p>
          <w:p w:rsidR="00000000" w:rsidRPr="006C0CD5" w:rsidP="006C0CD5">
            <w:pPr>
              <w:pStyle w:val="ListBullet2"/>
            </w:pPr>
            <w:r w:rsidRPr="006C0CD5">
              <w:t>Minor changes to Performance Evid</w:t>
            </w:r>
            <w:r w:rsidRPr="006C0CD5">
              <w:t>ence</w:t>
            </w:r>
          </w:p>
          <w:p w:rsidR="00000000" w:rsidRPr="006C0CD5" w:rsidP="006C0CD5">
            <w:pPr>
              <w:pStyle w:val="ListBullet2"/>
            </w:pPr>
            <w:r w:rsidRPr="006C0CD5">
              <w:t>Minor changes to Knowledge Evidence</w:t>
            </w:r>
          </w:p>
          <w:p w:rsidR="00000000" w:rsidP="006C0CD5">
            <w:pPr>
              <w:pStyle w:val="ListBullet2"/>
              <w:rPr>
                <w:lang w:val="en-NZ"/>
              </w:rPr>
            </w:pPr>
            <w:r w:rsidRPr="006C0CD5">
              <w:t>Minor changes to Assessment Conditions.</w:t>
            </w:r>
          </w:p>
        </w:tc>
      </w:tr>
      <w:tr w:rsidTr="006C0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rPr>
                <w:rStyle w:val="SpecialBold"/>
              </w:rPr>
              <w:t xml:space="preserve">Release 1. </w:t>
            </w:r>
            <w:r w:rsidRPr="006C0CD5">
              <w:t>This is the first release of this unit of competency in the TLI Transport and Logistics Training Package.</w:t>
            </w:r>
          </w:p>
        </w:tc>
      </w:tr>
    </w:tbl>
    <w:p w:rsidR="00C115F2" w:rsidP="006C0CD5">
      <w:pPr>
        <w:pStyle w:val="NoPaddingFontSize1"/>
      </w:pPr>
    </w:p>
    <w:p w:rsidR="00C115F2" w:rsidP="006C0CD5">
      <w:pPr>
        <w:pStyle w:val="NoPaddingFontSize1"/>
      </w:pPr>
    </w:p>
    <w:p w:rsidR="00000000" w:rsidRPr="006C0CD5" w:rsidP="006C0CD5">
      <w:pPr>
        <w:pStyle w:val="Heading1"/>
      </w:pPr>
      <w:bookmarkStart w:id="2" w:name="O_1196225"/>
      <w:bookmarkEnd w:id="2"/>
      <w:r w:rsidRPr="006C0CD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t>This unit involves the skills and knowledge required to use pilot and escort communication.</w:t>
            </w:r>
          </w:p>
          <w:p w:rsidR="00000000" w:rsidRPr="006C0CD5" w:rsidP="006C0CD5">
            <w:pPr>
              <w:pStyle w:val="BodyText"/>
            </w:pPr>
            <w:r w:rsidRPr="006C0CD5">
              <w:t>It includes deploying and/or operating equipment to communicate with drivers of oversized and/or overmassed vehicles and other relevant personnel during pilot and e</w:t>
            </w:r>
            <w:r w:rsidRPr="006C0CD5">
              <w:t>scort duties maintaining all required records and equipment and resources in accordance with relevant state or territory road traffic authority, licence and permit requirements and regulations.</w:t>
            </w:r>
          </w:p>
          <w:p w:rsidR="00000000" w:rsidRPr="006C0CD5" w:rsidP="006C0CD5">
            <w:pPr>
              <w:pStyle w:val="BodyText"/>
            </w:pPr>
            <w:r w:rsidRPr="006C0CD5">
              <w:t>Work is performed with limited or minimum supervision, and wit</w:t>
            </w:r>
            <w:r w:rsidRPr="006C0CD5">
              <w:t xml:space="preserve">h limited accountability and responsibility for self and others in achieving the prescribed outcomes. </w:t>
            </w:r>
          </w:p>
          <w:p w:rsidR="00000000" w:rsidRPr="006C0CD5" w:rsidP="006C0CD5">
            <w:pPr>
              <w:pStyle w:val="BodyText"/>
            </w:pPr>
            <w:r w:rsidRPr="006C0CD5">
              <w:t>No licensing, legislative or certification requirements apply to this unit at the time of publication.</w:t>
            </w:r>
          </w:p>
        </w:tc>
      </w:tr>
    </w:tbl>
    <w:p w:rsidR="00C115F2" w:rsidP="006C0CD5">
      <w:pPr>
        <w:pStyle w:val="NoPaddingFontSize1"/>
      </w:pPr>
    </w:p>
    <w:p w:rsidR="00C115F2" w:rsidP="006C0CD5">
      <w:pPr>
        <w:pStyle w:val="NoPaddingFontSize1"/>
      </w:pPr>
    </w:p>
    <w:p w:rsidR="00000000" w:rsidRPr="006C0CD5" w:rsidP="006C0CD5">
      <w:pPr>
        <w:pStyle w:val="Heading1"/>
      </w:pPr>
      <w:bookmarkStart w:id="3" w:name="O_1196224"/>
      <w:bookmarkEnd w:id="3"/>
      <w:r w:rsidRPr="006C0CD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t>Not appl</w:t>
            </w:r>
            <w:r w:rsidRPr="006C0CD5">
              <w:t>icable.</w:t>
            </w:r>
          </w:p>
        </w:tc>
      </w:tr>
    </w:tbl>
    <w:p w:rsidR="00C115F2" w:rsidP="006C0CD5">
      <w:pPr>
        <w:pStyle w:val="NoPaddingFontSize1"/>
      </w:pPr>
    </w:p>
    <w:p w:rsidR="00C115F2" w:rsidP="006C0CD5">
      <w:pPr>
        <w:pStyle w:val="NoPaddingFontSize1"/>
      </w:pPr>
    </w:p>
    <w:p w:rsidR="00000000" w:rsidRPr="006C0CD5" w:rsidP="006C0CD5">
      <w:pPr>
        <w:pStyle w:val="Heading1"/>
      </w:pPr>
      <w:bookmarkStart w:id="4" w:name="O_1196223"/>
      <w:bookmarkEnd w:id="4"/>
      <w:r w:rsidRPr="006C0CD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t>E – Communication and Calculation.</w:t>
            </w:r>
          </w:p>
        </w:tc>
      </w:tr>
    </w:tbl>
    <w:p w:rsidR="00C115F2" w:rsidP="006C0CD5">
      <w:pPr>
        <w:pStyle w:val="NoPaddingFontSize1"/>
      </w:pPr>
    </w:p>
    <w:p w:rsidR="00C115F2" w:rsidP="006C0CD5">
      <w:pPr>
        <w:pStyle w:val="NoPaddingFontSize1"/>
      </w:pPr>
    </w:p>
    <w:p w:rsidR="00000000" w:rsidRPr="006C0CD5" w:rsidP="006C0CD5">
      <w:pPr>
        <w:pStyle w:val="Heading1"/>
      </w:pPr>
      <w:bookmarkStart w:id="5" w:name="O_1196222"/>
      <w:bookmarkEnd w:id="5"/>
      <w:r w:rsidRPr="006C0CD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t>Not applicable.</w:t>
            </w:r>
          </w:p>
        </w:tc>
      </w:tr>
    </w:tbl>
    <w:p w:rsidR="00C115F2" w:rsidP="006C0CD5">
      <w:pPr>
        <w:pStyle w:val="NoPaddingFontSize1"/>
      </w:pPr>
    </w:p>
    <w:p w:rsidR="00C115F2" w:rsidP="006C0CD5">
      <w:pPr>
        <w:pStyle w:val="NoPaddingFontSize1"/>
      </w:pPr>
    </w:p>
    <w:p w:rsidR="00000000" w:rsidRPr="006C0CD5" w:rsidP="006C0CD5">
      <w:pPr>
        <w:pStyle w:val="Heading1"/>
      </w:pPr>
      <w:bookmarkStart w:id="6" w:name="O_1196221"/>
      <w:bookmarkEnd w:id="6"/>
      <w:r w:rsidRPr="006C0CD5">
        <w:t>Elements and Performance Criteria</w:t>
      </w:r>
    </w:p>
    <w:tbl>
      <w:tblPr>
        <w:tblW w:w="95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1"/>
        <w:gridCol w:w="2249"/>
        <w:gridCol w:w="446"/>
        <w:gridCol w:w="6488"/>
      </w:tblGrid>
      <w:tr w:rsidTr="006C0CD5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rPr>
                <w:rStyle w:val="SpecialBold"/>
              </w:rPr>
              <w:t>ELEMENTS</w:t>
            </w:r>
          </w:p>
        </w:tc>
        <w:tc>
          <w:tcPr>
            <w:tcW w:w="69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rPr>
                <w:rStyle w:val="SpecialBold"/>
              </w:rPr>
              <w:t>PERFORMANCE CRITERIA</w:t>
            </w:r>
          </w:p>
        </w:tc>
      </w:tr>
      <w:tr w:rsidTr="006C0CD5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t>Elements describe the essential outcomes.</w:t>
            </w:r>
          </w:p>
        </w:tc>
        <w:tc>
          <w:tcPr>
            <w:tcW w:w="69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t>Performance criteria describe the performance needed to demonstrate achievement of the element.</w:t>
            </w:r>
          </w:p>
        </w:tc>
      </w:tr>
      <w:tr w:rsidTr="006C0CD5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rPr>
                <w:rStyle w:val="SpecialBold"/>
              </w:rPr>
              <w:t>1</w:t>
            </w:r>
          </w:p>
        </w:tc>
        <w:tc>
          <w:tcPr>
            <w:tcW w:w="224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rPr>
                <w:rStyle w:val="SpecialBold"/>
              </w:rPr>
              <w:t>Operate communication equipment and resources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rPr>
                <w:rStyle w:val="SpecialBold"/>
              </w:rPr>
              <w:t>1.1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t>Communication equipment and resources for use in piloting and e</w:t>
            </w:r>
            <w:r w:rsidRPr="006C0CD5">
              <w:t>scorting duties are deployed and operated in accordance with relevant rules, regulations and manufacturer specifications</w:t>
            </w:r>
          </w:p>
        </w:tc>
      </w:tr>
      <w:tr w:rsidTr="006C0CD5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>
            <w:pPr>
              <w:pStyle w:val="BodyText"/>
              <w:keepLines w:val="0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rPr>
                <w:rStyle w:val="SpecialBold"/>
              </w:rPr>
              <w:t>1.2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t>Messages are transmitted and received clearly and precisely and required ethics and protocols are observed</w:t>
            </w:r>
          </w:p>
        </w:tc>
      </w:tr>
      <w:tr w:rsidTr="006C0CD5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>
            <w:pPr>
              <w:pStyle w:val="BodyText"/>
              <w:keepLines w:val="0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rPr>
                <w:rStyle w:val="SpecialBold"/>
              </w:rPr>
              <w:t>1.3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t>Backup communication strategies are established, and relevant personnel are informed of operating and coordination procedures</w:t>
            </w:r>
          </w:p>
        </w:tc>
      </w:tr>
      <w:tr w:rsidTr="006C0CD5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>
            <w:pPr>
              <w:pStyle w:val="BodyText"/>
              <w:keepLines w:val="0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rPr>
                <w:rStyle w:val="SpecialBold"/>
              </w:rPr>
              <w:t>1.4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t>Alternative communication strategies are used to communicate messages in response to communication failures and problems</w:t>
            </w:r>
          </w:p>
        </w:tc>
      </w:tr>
      <w:tr w:rsidTr="006C0CD5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rPr>
                <w:rStyle w:val="SpecialBold"/>
              </w:rPr>
              <w:t>2</w:t>
            </w:r>
          </w:p>
        </w:tc>
        <w:tc>
          <w:tcPr>
            <w:tcW w:w="224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rPr>
                <w:rStyle w:val="SpecialBold"/>
              </w:rPr>
              <w:t>Maintain records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rPr>
                <w:rStyle w:val="SpecialBold"/>
              </w:rPr>
              <w:t>2.1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t>Records on oversized and overmassed vehicle movements are maintained in accordance with workplace procedures and documentation requirements</w:t>
            </w:r>
          </w:p>
        </w:tc>
      </w:tr>
      <w:tr w:rsidTr="006C0CD5">
        <w:tblPrEx>
          <w:tblW w:w="95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>
            <w:pPr>
              <w:pStyle w:val="BodyText"/>
              <w:keepLines w:val="0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D5">
            <w:pPr>
              <w:pStyle w:val="BodyText"/>
              <w:rPr>
                <w:lang w:val="en-NZ"/>
              </w:rPr>
            </w:pPr>
            <w:r w:rsidRPr="006C0CD5">
              <w:rPr>
                <w:rStyle w:val="SpecialBold"/>
              </w:rPr>
              <w:t>2.2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t>Damage and other incidents are reported clearly and legibly to appropriate authorities in accordance with relevant rules, regulations and workplace procedures</w:t>
            </w:r>
          </w:p>
        </w:tc>
      </w:tr>
    </w:tbl>
    <w:p w:rsidR="00C115F2" w:rsidP="006C0CD5">
      <w:pPr>
        <w:pStyle w:val="NoPaddingFontSize1"/>
      </w:pPr>
    </w:p>
    <w:p w:rsidR="00C115F2" w:rsidP="006C0CD5">
      <w:pPr>
        <w:pStyle w:val="NoPaddingFontSize1"/>
      </w:pPr>
    </w:p>
    <w:p w:rsidR="00000000" w:rsidRPr="006C0CD5" w:rsidP="006C0CD5">
      <w:pPr>
        <w:pStyle w:val="Heading1"/>
      </w:pPr>
      <w:bookmarkStart w:id="7" w:name="O_1196220"/>
      <w:bookmarkEnd w:id="7"/>
      <w:r w:rsidRPr="006C0CD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t>Foundation skills essential to performance are explicit in the performance criteria of this unit of competency.</w:t>
            </w:r>
          </w:p>
        </w:tc>
      </w:tr>
    </w:tbl>
    <w:p w:rsidR="00C115F2" w:rsidP="006C0CD5">
      <w:pPr>
        <w:pStyle w:val="NoPaddingFontSize1"/>
      </w:pPr>
    </w:p>
    <w:p w:rsidR="00C115F2" w:rsidP="006C0CD5">
      <w:pPr>
        <w:pStyle w:val="NoPaddingFontSize1"/>
      </w:pPr>
    </w:p>
    <w:p w:rsidR="00000000" w:rsidRPr="006C0CD5" w:rsidP="006C0CD5">
      <w:pPr>
        <w:pStyle w:val="Heading1"/>
      </w:pPr>
      <w:bookmarkStart w:id="8" w:name="O_1196219"/>
      <w:bookmarkEnd w:id="8"/>
      <w:r w:rsidRPr="006C0CD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t>Range is restricted to essential operating conditions and any other variables essential to the work environment.</w:t>
            </w:r>
          </w:p>
          <w:p w:rsidR="00000000" w:rsidRPr="006C0CD5" w:rsidP="006C0CD5">
            <w:pPr>
              <w:pStyle w:val="BodyText"/>
            </w:pPr>
            <w:r w:rsidRPr="006C0CD5">
              <w:t>Non-essential conditions can be found in the TLI Transport and Logistics Training Package Companion Volume Implementation Guide.</w:t>
            </w:r>
          </w:p>
        </w:tc>
      </w:tr>
    </w:tbl>
    <w:p w:rsidR="00C115F2" w:rsidP="006C0CD5">
      <w:pPr>
        <w:pStyle w:val="NoPaddingFontSize1"/>
      </w:pPr>
    </w:p>
    <w:p w:rsidR="00C115F2" w:rsidP="006C0CD5">
      <w:pPr>
        <w:pStyle w:val="NoPaddingFontSize1"/>
      </w:pPr>
    </w:p>
    <w:p w:rsidR="00000000" w:rsidRPr="006C0CD5" w:rsidP="006C0CD5">
      <w:pPr>
        <w:pStyle w:val="Heading1"/>
      </w:pPr>
      <w:bookmarkStart w:id="9" w:name="O_1196218"/>
      <w:bookmarkEnd w:id="9"/>
      <w:r w:rsidRPr="006C0CD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D5" w:rsidP="006C0CD5">
            <w:pPr>
              <w:pStyle w:val="BodyText"/>
            </w:pPr>
            <w:r w:rsidRPr="006C0CD5">
              <w:t>This unit replaces and is equivalent to TLIE3009A Use pilot and escort communication.</w:t>
            </w:r>
          </w:p>
        </w:tc>
      </w:tr>
    </w:tbl>
    <w:p w:rsidR="00C115F2" w:rsidP="006C0CD5">
      <w:pPr>
        <w:pStyle w:val="NoPaddingFontSize1"/>
      </w:pPr>
    </w:p>
    <w:p w:rsidR="00C115F2" w:rsidP="006C0CD5">
      <w:pPr>
        <w:pStyle w:val="NoPaddingFontSize1"/>
      </w:pPr>
    </w:p>
    <w:p w:rsidR="00000000" w:rsidRPr="006C0CD5" w:rsidP="006C0CD5">
      <w:pPr>
        <w:pStyle w:val="Heading1"/>
      </w:pPr>
      <w:bookmarkStart w:id="10" w:name="O_1196227"/>
      <w:bookmarkEnd w:id="10"/>
      <w:r w:rsidRPr="006C0CD5">
        <w:t>Links</w:t>
      </w:r>
    </w:p>
    <w:p w:rsidR="00000000" w:rsidRPr="006C0CD5" w:rsidP="00C115F2">
      <w:pPr>
        <w:pStyle w:val="BodyText"/>
      </w:pPr>
      <w:r w:rsidRPr="006C0C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61A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C0CD5" w:rsidP="006C0CD5"/>
    <w:sectPr w:rsidSect="006C0C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D5" w:rsidRPr="00C115F2" w:rsidP="00C11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F2" w:rsidP="006C0C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5F2" w:rsidP="006C0C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115F2" w:rsidP="006C0C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CD5" w:rsidRPr="00C115F2" w:rsidP="00C115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F2" w:rsidRPr="002D2AF8" w:rsidP="006C0C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TLIE3009 Use pilot and escort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115F2" w:rsidP="006C0C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12C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6E98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C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C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C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C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C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C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C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C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C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C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C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CD5"/>
  </w:style>
  <w:style w:type="character" w:customStyle="1" w:styleId="Heading1Char">
    <w:name w:val="Heading 1 Char"/>
    <w:basedOn w:val="DefaultParagraphFont"/>
    <w:link w:val="Heading1"/>
    <w:rsid w:val="006C0C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C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C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C0CD5"/>
    <w:rPr>
      <w:b/>
      <w:spacing w:val="0"/>
    </w:rPr>
  </w:style>
  <w:style w:type="paragraph" w:styleId="ListBullet2">
    <w:name w:val="List Bullet 2"/>
    <w:basedOn w:val="List2"/>
    <w:rsid w:val="006C0CD5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0C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C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0C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C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C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C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C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C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C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C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C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C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C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C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C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C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C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0C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0C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0C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C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C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0C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C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C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C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C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C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C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C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C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CD5"/>
    <w:rPr>
      <w:i/>
    </w:rPr>
  </w:style>
  <w:style w:type="paragraph" w:styleId="Caption">
    <w:name w:val="caption"/>
    <w:basedOn w:val="BodyText"/>
    <w:next w:val="Normal"/>
    <w:qFormat/>
    <w:rsid w:val="006C0C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C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C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CD5"/>
  </w:style>
  <w:style w:type="paragraph" w:styleId="TableofFigures">
    <w:name w:val="table of figures"/>
    <w:basedOn w:val="Normal"/>
    <w:next w:val="Normal"/>
    <w:semiHidden/>
    <w:rsid w:val="006C0C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C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0CD5"/>
    <w:rPr>
      <w:rFonts w:ascii="Wingdings" w:hAnsi="Wingdings"/>
    </w:rPr>
  </w:style>
  <w:style w:type="paragraph" w:customStyle="1" w:styleId="TableHeading">
    <w:name w:val="Table Heading"/>
    <w:basedOn w:val="HeadingBase"/>
    <w:rsid w:val="006C0C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CD5"/>
    <w:rPr>
      <w:color w:val="0033CC"/>
      <w:u w:val="none"/>
    </w:rPr>
  </w:style>
  <w:style w:type="paragraph" w:customStyle="1" w:styleId="BodyTextRight">
    <w:name w:val="Body Text Right"/>
    <w:basedOn w:val="BodyText"/>
    <w:rsid w:val="006C0C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C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C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C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C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C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CD5"/>
    <w:rPr>
      <w:sz w:val="32"/>
    </w:rPr>
  </w:style>
  <w:style w:type="paragraph" w:customStyle="1" w:styleId="HeadingProcedure">
    <w:name w:val="Heading Procedure"/>
    <w:basedOn w:val="HeadingBase"/>
    <w:next w:val="Normal"/>
    <w:rsid w:val="006C0C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CD5"/>
    <w:pPr>
      <w:spacing w:before="60" w:after="60"/>
    </w:pPr>
  </w:style>
  <w:style w:type="paragraph" w:styleId="ListContinue">
    <w:name w:val="List Continue"/>
    <w:basedOn w:val="List"/>
    <w:rsid w:val="006C0CD5"/>
    <w:pPr>
      <w:ind w:firstLine="0"/>
    </w:pPr>
  </w:style>
  <w:style w:type="paragraph" w:customStyle="1" w:styleId="ListNote">
    <w:name w:val="List Note"/>
    <w:basedOn w:val="List"/>
    <w:rsid w:val="006C0C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C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C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CD5"/>
    <w:rPr>
      <w:rFonts w:ascii="Courier New" w:hAnsi="Courier New"/>
    </w:rPr>
  </w:style>
  <w:style w:type="paragraph" w:customStyle="1" w:styleId="NoteBullet">
    <w:name w:val="Note Bullet"/>
    <w:basedOn w:val="Note"/>
    <w:rsid w:val="006C0C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C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C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C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C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0C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C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CD5"/>
    <w:rPr>
      <w:b/>
      <w:smallCaps/>
    </w:rPr>
  </w:style>
  <w:style w:type="paragraph" w:customStyle="1" w:styleId="TableListNumber">
    <w:name w:val="Table List Number"/>
    <w:basedOn w:val="ListNumber"/>
    <w:rsid w:val="006C0C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C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CD5"/>
    <w:pPr>
      <w:numPr>
        <w:numId w:val="8"/>
      </w:numPr>
    </w:pPr>
  </w:style>
  <w:style w:type="paragraph" w:customStyle="1" w:styleId="ListAlpha2">
    <w:name w:val="List Alpha 2"/>
    <w:basedOn w:val="List2"/>
    <w:rsid w:val="006C0CD5"/>
    <w:pPr>
      <w:numPr>
        <w:numId w:val="7"/>
      </w:numPr>
    </w:pPr>
  </w:style>
  <w:style w:type="paragraph" w:styleId="List2">
    <w:name w:val="List 2"/>
    <w:basedOn w:val="BodyText"/>
    <w:rsid w:val="006C0C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C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C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C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C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C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0CD5"/>
    <w:pPr>
      <w:numPr>
        <w:numId w:val="3"/>
      </w:numPr>
    </w:pPr>
  </w:style>
  <w:style w:type="paragraph" w:styleId="ListContinue2">
    <w:name w:val="List Continue 2"/>
    <w:basedOn w:val="List2"/>
    <w:rsid w:val="006C0CD5"/>
    <w:pPr>
      <w:ind w:firstLine="0"/>
    </w:pPr>
  </w:style>
  <w:style w:type="paragraph" w:styleId="ListContinue3">
    <w:name w:val="List Continue 3"/>
    <w:basedOn w:val="List3"/>
    <w:rsid w:val="006C0CD5"/>
    <w:pPr>
      <w:ind w:left="1021" w:firstLine="0"/>
    </w:pPr>
  </w:style>
  <w:style w:type="paragraph" w:styleId="ListContinue4">
    <w:name w:val="List Continue 4"/>
    <w:basedOn w:val="List4"/>
    <w:rsid w:val="006C0CD5"/>
    <w:pPr>
      <w:ind w:firstLine="0"/>
    </w:pPr>
  </w:style>
  <w:style w:type="paragraph" w:styleId="ListContinue5">
    <w:name w:val="List Continue 5"/>
    <w:basedOn w:val="List5"/>
    <w:rsid w:val="006C0CD5"/>
    <w:pPr>
      <w:ind w:firstLine="0"/>
    </w:pPr>
  </w:style>
  <w:style w:type="paragraph" w:styleId="ListNumber3">
    <w:name w:val="List Number 3"/>
    <w:basedOn w:val="List3"/>
    <w:rsid w:val="006C0CD5"/>
    <w:pPr>
      <w:numPr>
        <w:numId w:val="4"/>
      </w:numPr>
    </w:pPr>
  </w:style>
  <w:style w:type="paragraph" w:styleId="ListNumber4">
    <w:name w:val="List Number 4"/>
    <w:basedOn w:val="List4"/>
    <w:rsid w:val="006C0CD5"/>
    <w:pPr>
      <w:numPr>
        <w:numId w:val="5"/>
      </w:numPr>
    </w:pPr>
  </w:style>
  <w:style w:type="paragraph" w:styleId="ListNumber5">
    <w:name w:val="List Number 5"/>
    <w:basedOn w:val="List5"/>
    <w:rsid w:val="006C0CD5"/>
    <w:pPr>
      <w:numPr>
        <w:numId w:val="6"/>
      </w:numPr>
    </w:pPr>
  </w:style>
  <w:style w:type="paragraph" w:styleId="BlockText">
    <w:name w:val="Block Text"/>
    <w:basedOn w:val="Normal"/>
    <w:rsid w:val="006C0C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C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CD5"/>
    <w:rPr>
      <w:sz w:val="16"/>
      <w:vertAlign w:val="superscript"/>
    </w:rPr>
  </w:style>
  <w:style w:type="character" w:customStyle="1" w:styleId="Symbols">
    <w:name w:val="Symbols"/>
    <w:basedOn w:val="DefaultParagraphFont"/>
    <w:rsid w:val="006C0CD5"/>
    <w:rPr>
      <w:rFonts w:ascii="Symbol" w:hAnsi="Symbol"/>
    </w:rPr>
  </w:style>
  <w:style w:type="character" w:customStyle="1" w:styleId="MenuOptions">
    <w:name w:val="Menu Options"/>
    <w:basedOn w:val="DefaultParagraphFont"/>
    <w:rsid w:val="006C0C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CD5"/>
    <w:rPr>
      <w:b/>
    </w:rPr>
  </w:style>
  <w:style w:type="character" w:customStyle="1" w:styleId="Underlined">
    <w:name w:val="Underlined"/>
    <w:basedOn w:val="DefaultParagraphFont"/>
    <w:rsid w:val="006C0CD5"/>
    <w:rPr>
      <w:u w:val="single"/>
    </w:rPr>
  </w:style>
  <w:style w:type="paragraph" w:customStyle="1" w:styleId="TableBodyTextRight">
    <w:name w:val="Table Body Text Right"/>
    <w:basedOn w:val="TableBodyText"/>
    <w:rsid w:val="006C0C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CD5"/>
    <w:rPr>
      <w:sz w:val="18"/>
    </w:rPr>
  </w:style>
  <w:style w:type="paragraph" w:customStyle="1" w:styleId="BodySmallRight">
    <w:name w:val="Body Small Right"/>
    <w:basedOn w:val="BodyTextRight"/>
    <w:rsid w:val="006C0CD5"/>
    <w:rPr>
      <w:sz w:val="18"/>
      <w:szCs w:val="18"/>
    </w:rPr>
  </w:style>
  <w:style w:type="paragraph" w:customStyle="1" w:styleId="MarginEdition">
    <w:name w:val="Margin Edition"/>
    <w:basedOn w:val="MarginNote"/>
    <w:rsid w:val="006C0C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CD5"/>
    <w:rPr>
      <w:sz w:val="2"/>
      <w:szCs w:val="2"/>
    </w:rPr>
  </w:style>
  <w:style w:type="character" w:customStyle="1" w:styleId="Small">
    <w:name w:val="Small"/>
    <w:basedOn w:val="DefaultParagraphFont"/>
    <w:rsid w:val="006C0CD5"/>
    <w:rPr>
      <w:sz w:val="16"/>
    </w:rPr>
  </w:style>
  <w:style w:type="paragraph" w:customStyle="1" w:styleId="WideTable">
    <w:name w:val="Wide Table"/>
    <w:basedOn w:val="Normal"/>
    <w:rsid w:val="006C0C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CD5"/>
  </w:style>
  <w:style w:type="paragraph" w:styleId="Quote">
    <w:name w:val="Quote"/>
    <w:basedOn w:val="Heading1"/>
    <w:link w:val="QuoteChar"/>
    <w:qFormat/>
    <w:rsid w:val="006C0C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C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CD5"/>
    <w:pPr>
      <w:pageBreakBefore/>
    </w:pPr>
  </w:style>
  <w:style w:type="paragraph" w:customStyle="1" w:styleId="Border">
    <w:name w:val="Border"/>
    <w:basedOn w:val="Normal"/>
    <w:qFormat/>
    <w:rsid w:val="006C0C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C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C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C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C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C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C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C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C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CD5"/>
    <w:rPr>
      <w:u w:val="single"/>
    </w:rPr>
  </w:style>
  <w:style w:type="character" w:customStyle="1" w:styleId="BoldandItalics">
    <w:name w:val="Bold and Italics"/>
    <w:qFormat/>
    <w:rsid w:val="006C0CD5"/>
    <w:rPr>
      <w:b/>
      <w:i/>
      <w:u w:val="none"/>
    </w:rPr>
  </w:style>
  <w:style w:type="paragraph" w:styleId="BalloonText">
    <w:name w:val="Balloon Text"/>
    <w:basedOn w:val="Normal"/>
    <w:link w:val="BalloonTextChar"/>
    <w:rsid w:val="006C0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C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C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C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C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C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CD5"/>
    <w:pPr>
      <w:spacing w:before="0" w:after="0"/>
    </w:pPr>
  </w:style>
  <w:style w:type="paragraph" w:customStyle="1" w:styleId="BodyTextBold">
    <w:name w:val="Body Text Bold"/>
    <w:basedOn w:val="BodyText"/>
    <w:qFormat/>
    <w:rsid w:val="006C0CD5"/>
    <w:rPr>
      <w:b/>
    </w:rPr>
  </w:style>
  <w:style w:type="character" w:styleId="Hyperlink">
    <w:name w:val="Hyperlink"/>
    <w:basedOn w:val="DefaultParagraphFont"/>
    <w:uiPriority w:val="99"/>
    <w:unhideWhenUsed/>
    <w:rsid w:val="00C115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</Words>
  <Characters>2936</Characters>
  <Application>Microsoft Office Word</Application>
  <DocSecurity>0</DocSecurity>
  <Lines>112</Lines>
  <Paragraphs>63</Paragraphs>
  <ScaleCrop>false</ScaleCrop>
  <Company>Author-it Software Corporation Ltd.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TLIE3009 Use pilot and escort communication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