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498" w:rsidP="009624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TLIE2032 Assess removal load</w:t>
      </w:r>
      <w:r>
        <w:fldChar w:fldCharType="end"/>
      </w:r>
    </w:p>
    <w:p w:rsidR="00962498" w:rsidP="00962498">
      <w:pPr>
        <w:pStyle w:val="Version"/>
        <w:sectPr w:rsidSect="00D62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783" w:rsidP="00D62783">
      <w:pPr>
        <w:pStyle w:val="SuperHeading"/>
      </w:pPr>
      <w:r w:rsidRPr="00D62783">
        <w:t>TLIE2032 Assess removal load</w:t>
      </w:r>
    </w:p>
    <w:p w:rsidR="00000000" w:rsidRPr="00D62783" w:rsidP="00D62783">
      <w:pPr>
        <w:pStyle w:val="Heading1"/>
      </w:pPr>
      <w:bookmarkStart w:id="1" w:name="O_813582"/>
      <w:bookmarkEnd w:id="1"/>
      <w:r w:rsidRPr="00D62783">
        <w:t>Modification History</w:t>
      </w:r>
    </w:p>
    <w:p w:rsidR="00962498" w:rsidP="00962498">
      <w:pPr>
        <w:pStyle w:val="BodyText"/>
      </w:pPr>
      <w:r w:rsidRPr="00D62783">
        <w:t>Release 1. This is the first release of this unit of competency in the TLI Transport and Logistics Training Package.</w:t>
      </w:r>
    </w:p>
    <w:p w:rsidR="00000000" w:rsidRPr="00D62783" w:rsidP="00D62783">
      <w:pPr>
        <w:pStyle w:val="Heading1"/>
      </w:pPr>
      <w:bookmarkStart w:id="2" w:name="O_813583"/>
      <w:bookmarkEnd w:id="2"/>
      <w:r w:rsidRPr="00D62783">
        <w:t>Application</w:t>
      </w:r>
    </w:p>
    <w:p w:rsidR="00000000" w:rsidRPr="00D62783" w:rsidP="00962498">
      <w:pPr>
        <w:pStyle w:val="BodyText"/>
      </w:pPr>
      <w:r w:rsidRPr="00D62783">
        <w:t>This unit involves the skills and knowledge required to assess a removal load for pre-pa</w:t>
      </w:r>
      <w:r w:rsidRPr="00D62783">
        <w:t xml:space="preserve">cking across a variety of removal contexts, in accordance with workplace procedures, relevant standards and certification requirements. </w:t>
      </w:r>
    </w:p>
    <w:p w:rsidR="00000000" w:rsidRPr="00D62783" w:rsidP="00962498">
      <w:pPr>
        <w:pStyle w:val="BodyText"/>
      </w:pPr>
      <w:r w:rsidRPr="00D62783">
        <w:t>It includes selecting packing materials and equipment, identifying potential hazards, identifying discrepancies against</w:t>
      </w:r>
      <w:r w:rsidRPr="00D62783">
        <w:t xml:space="preserve"> inventory, ensuring all pre-packed items are ready for uplift, and completing all relevant records.</w:t>
      </w:r>
    </w:p>
    <w:p w:rsidR="00000000" w:rsidRPr="00D62783" w:rsidP="00962498">
      <w:pPr>
        <w:pStyle w:val="BodyText"/>
      </w:pPr>
      <w:r w:rsidRPr="00D62783">
        <w:t>Work is normally performed under general supervision. Defined accountability and responsibility for self and others in achieving the required outcomes is i</w:t>
      </w:r>
      <w:r w:rsidRPr="00D62783">
        <w:t>nvolved.</w:t>
      </w:r>
    </w:p>
    <w:p w:rsidR="00962498" w:rsidP="00962498">
      <w:pPr>
        <w:pStyle w:val="BodyText"/>
      </w:pPr>
      <w:r w:rsidRPr="00D62783">
        <w:t>No licensing, legislative or certification requirements apply to this unit at the time of publication.</w:t>
      </w:r>
    </w:p>
    <w:p w:rsidR="00000000" w:rsidRPr="00D62783" w:rsidP="00D62783">
      <w:pPr>
        <w:pStyle w:val="Heading1"/>
      </w:pPr>
      <w:bookmarkStart w:id="3" w:name="O_813584"/>
      <w:bookmarkEnd w:id="3"/>
      <w:r w:rsidRPr="00D62783">
        <w:t>Pre-requisite Unit</w:t>
      </w:r>
    </w:p>
    <w:p w:rsidR="00962498" w:rsidP="00962498">
      <w:pPr>
        <w:pStyle w:val="BodyText"/>
      </w:pPr>
      <w:r w:rsidRPr="00D62783">
        <w:t>Not applicable.</w:t>
      </w:r>
    </w:p>
    <w:p w:rsidR="00000000" w:rsidRPr="00D62783" w:rsidP="00D62783">
      <w:pPr>
        <w:pStyle w:val="Heading1"/>
      </w:pPr>
      <w:bookmarkStart w:id="4" w:name="O_813585"/>
      <w:bookmarkEnd w:id="4"/>
      <w:r w:rsidRPr="00D62783">
        <w:t>Competency Field</w:t>
      </w:r>
    </w:p>
    <w:p w:rsidR="00962498" w:rsidP="00962498">
      <w:pPr>
        <w:pStyle w:val="BodyText"/>
      </w:pPr>
      <w:r w:rsidRPr="00D62783">
        <w:t>E – Communication and calculation</w:t>
      </w:r>
    </w:p>
    <w:p w:rsidR="00000000" w:rsidRPr="00D62783" w:rsidP="00D62783">
      <w:pPr>
        <w:pStyle w:val="Heading1"/>
      </w:pPr>
      <w:bookmarkStart w:id="5" w:name="O_813586"/>
      <w:bookmarkEnd w:id="5"/>
      <w:r w:rsidRPr="00D62783">
        <w:t>Unit</w:t>
      </w:r>
      <w:r w:rsidRPr="00D62783">
        <w:t xml:space="preserve"> Sector</w:t>
      </w:r>
    </w:p>
    <w:p w:rsidR="00962498" w:rsidP="00962498">
      <w:pPr>
        <w:pStyle w:val="BodyText"/>
      </w:pPr>
      <w:r w:rsidRPr="00D62783">
        <w:t>Not applicable.</w:t>
      </w:r>
    </w:p>
    <w:p w:rsidR="00000000" w:rsidRPr="00D62783" w:rsidP="00D62783">
      <w:pPr>
        <w:pStyle w:val="Heading1"/>
      </w:pPr>
      <w:bookmarkStart w:id="6" w:name="O_813587"/>
      <w:bookmarkEnd w:id="6"/>
      <w:r w:rsidRPr="00D627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4"/>
        <w:gridCol w:w="6582"/>
      </w:tblGrid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783" w:rsidP="00D62783">
            <w:pPr>
              <w:pStyle w:val="BodyText"/>
            </w:pPr>
            <w:r w:rsidRPr="00D6278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rPr>
                <w:rStyle w:val="SpecialBold"/>
              </w:rPr>
              <w:t>PERFORMANCE CRITERIA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Performance criteria describe the performance needed to demonstrate achievement of the element.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783" w:rsidP="00D62783">
            <w:pPr>
              <w:pStyle w:val="BodyText"/>
            </w:pPr>
            <w:r w:rsidRPr="00D6278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rPr>
                <w:rStyle w:val="SpecialBold"/>
              </w:rPr>
              <w:t>Check removal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Potential internal hazards are identified and appropriate action is planned to minimise risk or injury and/or damage to items, equipment or structure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In consultation with client, removal consultant/client inventory is checked for accuracy and discrepancies are made known to appropriate personnel in accordance with workplace procedures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Special requirements are identified in consultation with clien</w:t>
            </w:r>
            <w:r w:rsidRPr="00D62783">
              <w:t>t and are documented in accordance with workplace procedures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Client is advised of any pre-damaged or damage-risked items and appropriate documentation is completed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Items unacceptable for removal are identified and client is appropriately info</w:t>
            </w:r>
            <w:r w:rsidRPr="00D62783">
              <w:t>rmed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783" w:rsidP="00D62783">
            <w:pPr>
              <w:pStyle w:val="BodyText"/>
            </w:pPr>
            <w:r w:rsidRPr="00D6278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rPr>
                <w:rStyle w:val="SpecialBold"/>
              </w:rPr>
              <w:t>Complete uplift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Pre-packed items of furniture and effects are stored appropriately at client premises to ensure orderly and efficient uplift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Records are updated accurately, legibly and promptly in accordance with workplace procedures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Records are checked to ensure they include required information relevant to the job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Changes to consultant appraisal are confirmed with office in acco</w:t>
            </w:r>
            <w:r w:rsidRPr="00D62783">
              <w:t>rdance with workplace procedures</w:t>
            </w:r>
          </w:p>
        </w:tc>
      </w:tr>
      <w:tr w:rsidTr="009624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783">
            <w:pPr>
              <w:pStyle w:val="BodyText"/>
              <w:rPr>
                <w:lang w:val="en-NZ"/>
              </w:rPr>
            </w:pPr>
            <w:r w:rsidRPr="00D6278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783" w:rsidP="00D62783">
            <w:pPr>
              <w:pStyle w:val="BodyText"/>
            </w:pPr>
            <w:r w:rsidRPr="00D62783">
              <w:t>Confirmed items are appropriately prepared for travel in accordance with workplace procedures</w:t>
            </w:r>
          </w:p>
        </w:tc>
      </w:tr>
    </w:tbl>
    <w:p w:rsidR="00962498" w:rsidP="00D62783">
      <w:pPr>
        <w:pStyle w:val="BodyText"/>
      </w:pPr>
    </w:p>
    <w:p w:rsidR="00962498" w:rsidP="00D62783">
      <w:pPr>
        <w:pStyle w:val="BodyText"/>
      </w:pPr>
    </w:p>
    <w:p w:rsidR="00000000" w:rsidRPr="00D62783" w:rsidP="00D62783">
      <w:pPr>
        <w:pStyle w:val="Heading1"/>
      </w:pPr>
      <w:bookmarkStart w:id="7" w:name="O_813588"/>
      <w:bookmarkEnd w:id="7"/>
      <w:r w:rsidRPr="00D62783">
        <w:t>Foundation Skills</w:t>
      </w:r>
    </w:p>
    <w:p w:rsidR="00962498" w:rsidP="00962498">
      <w:pPr>
        <w:pStyle w:val="BodyText"/>
      </w:pPr>
      <w:r w:rsidRPr="00D62783">
        <w:t>Foundation skills essential to performance are explicit in the performance criteria of this unit of competency.</w:t>
      </w:r>
    </w:p>
    <w:p w:rsidR="00000000" w:rsidRPr="00D62783" w:rsidP="00D62783">
      <w:pPr>
        <w:pStyle w:val="Heading1"/>
      </w:pPr>
      <w:bookmarkStart w:id="8" w:name="O_813589"/>
      <w:bookmarkEnd w:id="8"/>
      <w:r w:rsidRPr="00D62783">
        <w:t>Range of Conditions</w:t>
      </w:r>
    </w:p>
    <w:p w:rsidR="00000000" w:rsidRPr="00D62783" w:rsidP="00962498">
      <w:pPr>
        <w:pStyle w:val="BodyText"/>
      </w:pPr>
      <w:r w:rsidRPr="00D62783">
        <w:t>Range is restricted to essential operating conditions and any other variables essential to the work enviro</w:t>
      </w:r>
      <w:r w:rsidRPr="00D62783">
        <w:t>nment.</w:t>
      </w:r>
    </w:p>
    <w:p w:rsidR="00962498" w:rsidP="00962498">
      <w:pPr>
        <w:pStyle w:val="BodyText"/>
      </w:pPr>
      <w:r w:rsidRPr="00D62783">
        <w:t>Non-essential conditions can be found in the Companion Volume Implementation Guide.</w:t>
      </w:r>
    </w:p>
    <w:p w:rsidR="00000000" w:rsidRPr="00D62783" w:rsidP="00D62783">
      <w:pPr>
        <w:pStyle w:val="Heading1"/>
      </w:pPr>
      <w:bookmarkStart w:id="9" w:name="O_813590"/>
      <w:bookmarkEnd w:id="9"/>
      <w:r w:rsidRPr="00D62783">
        <w:t>Unit Mapping Information</w:t>
      </w:r>
    </w:p>
    <w:p w:rsidR="00962498" w:rsidP="00962498">
      <w:pPr>
        <w:pStyle w:val="BodyText"/>
      </w:pPr>
      <w:r w:rsidRPr="00D62783">
        <w:t>This unit replaces and is equivalent to TLIE2032A Assess removal.</w:t>
      </w:r>
    </w:p>
    <w:p w:rsidR="00000000" w:rsidRPr="00D62783" w:rsidP="00D62783">
      <w:pPr>
        <w:pStyle w:val="Heading1"/>
      </w:pPr>
      <w:bookmarkStart w:id="10" w:name="O_813597"/>
      <w:bookmarkEnd w:id="10"/>
      <w:r w:rsidRPr="00D62783">
        <w:t>Links</w:t>
      </w:r>
    </w:p>
    <w:p w:rsidR="00000000" w:rsidRPr="00D62783" w:rsidP="00962498">
      <w:pPr>
        <w:pStyle w:val="BodyText"/>
      </w:pPr>
      <w:r w:rsidRPr="00D62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02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2783" w:rsidP="00D62783"/>
    <w:sectPr w:rsidSect="00D627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83" w:rsidRPr="00962498" w:rsidP="009624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98" w:rsidP="00D62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498" w:rsidP="00D62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2498" w:rsidP="00D62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783" w:rsidRPr="00962498" w:rsidP="009624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98" w:rsidRPr="002D2AF8" w:rsidP="00D62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TLIE2032 Assess removal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62498" w:rsidP="00D62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783"/>
  </w:style>
  <w:style w:type="character" w:customStyle="1" w:styleId="Heading1Char">
    <w:name w:val="Heading 1 Char"/>
    <w:basedOn w:val="DefaultParagraphFont"/>
    <w:link w:val="Heading1"/>
    <w:rsid w:val="00D62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7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2783"/>
    <w:rPr>
      <w:b/>
      <w:spacing w:val="0"/>
    </w:rPr>
  </w:style>
  <w:style w:type="paragraph" w:customStyle="1" w:styleId="SuperHeading">
    <w:name w:val="SuperHeading"/>
    <w:basedOn w:val="Normal"/>
    <w:rsid w:val="00D62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7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7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783"/>
    <w:rPr>
      <w:i/>
    </w:rPr>
  </w:style>
  <w:style w:type="paragraph" w:styleId="Caption">
    <w:name w:val="caption"/>
    <w:basedOn w:val="BodyText"/>
    <w:next w:val="Normal"/>
    <w:qFormat/>
    <w:rsid w:val="00D62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783"/>
  </w:style>
  <w:style w:type="paragraph" w:styleId="TableofFigures">
    <w:name w:val="table of figures"/>
    <w:basedOn w:val="Normal"/>
    <w:next w:val="Normal"/>
    <w:semiHidden/>
    <w:rsid w:val="00D62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7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2783"/>
    <w:rPr>
      <w:rFonts w:ascii="Wingdings" w:hAnsi="Wingdings"/>
    </w:rPr>
  </w:style>
  <w:style w:type="paragraph" w:customStyle="1" w:styleId="TableHeading">
    <w:name w:val="Table Heading"/>
    <w:basedOn w:val="HeadingBase"/>
    <w:rsid w:val="00D62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783"/>
    <w:rPr>
      <w:color w:val="0033CC"/>
      <w:u w:val="none"/>
    </w:rPr>
  </w:style>
  <w:style w:type="paragraph" w:customStyle="1" w:styleId="BodyTextRight">
    <w:name w:val="Body Text Right"/>
    <w:basedOn w:val="BodyText"/>
    <w:rsid w:val="00D62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7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783"/>
    <w:rPr>
      <w:sz w:val="32"/>
    </w:rPr>
  </w:style>
  <w:style w:type="paragraph" w:customStyle="1" w:styleId="HeadingProcedure">
    <w:name w:val="Heading Procedure"/>
    <w:basedOn w:val="HeadingBase"/>
    <w:next w:val="Normal"/>
    <w:rsid w:val="00D62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783"/>
    <w:pPr>
      <w:spacing w:before="60" w:after="60"/>
    </w:pPr>
  </w:style>
  <w:style w:type="paragraph" w:styleId="ListContinue">
    <w:name w:val="List Continue"/>
    <w:basedOn w:val="List"/>
    <w:rsid w:val="00D62783"/>
    <w:pPr>
      <w:ind w:firstLine="0"/>
    </w:pPr>
  </w:style>
  <w:style w:type="paragraph" w:customStyle="1" w:styleId="ListNote">
    <w:name w:val="List Note"/>
    <w:basedOn w:val="List"/>
    <w:rsid w:val="00D62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783"/>
    <w:rPr>
      <w:rFonts w:ascii="Courier New" w:hAnsi="Courier New"/>
    </w:rPr>
  </w:style>
  <w:style w:type="paragraph" w:customStyle="1" w:styleId="NoteBullet">
    <w:name w:val="Note Bullet"/>
    <w:basedOn w:val="Note"/>
    <w:rsid w:val="00D62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7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2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783"/>
    <w:rPr>
      <w:b/>
      <w:smallCaps/>
    </w:rPr>
  </w:style>
  <w:style w:type="paragraph" w:customStyle="1" w:styleId="TableListNumber">
    <w:name w:val="Table List Number"/>
    <w:basedOn w:val="ListNumber"/>
    <w:rsid w:val="00D62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783"/>
    <w:pPr>
      <w:numPr>
        <w:numId w:val="7"/>
      </w:numPr>
    </w:pPr>
  </w:style>
  <w:style w:type="paragraph" w:customStyle="1" w:styleId="ListAlpha2">
    <w:name w:val="List Alpha 2"/>
    <w:basedOn w:val="List2"/>
    <w:rsid w:val="00D62783"/>
    <w:pPr>
      <w:numPr>
        <w:numId w:val="6"/>
      </w:numPr>
    </w:pPr>
  </w:style>
  <w:style w:type="paragraph" w:styleId="List2">
    <w:name w:val="List 2"/>
    <w:basedOn w:val="BodyText"/>
    <w:rsid w:val="00D62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7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7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783"/>
    <w:pPr>
      <w:numPr>
        <w:numId w:val="2"/>
      </w:numPr>
    </w:pPr>
  </w:style>
  <w:style w:type="paragraph" w:styleId="ListContinue2">
    <w:name w:val="List Continue 2"/>
    <w:basedOn w:val="List2"/>
    <w:rsid w:val="00D62783"/>
    <w:pPr>
      <w:ind w:firstLine="0"/>
    </w:pPr>
  </w:style>
  <w:style w:type="paragraph" w:styleId="ListContinue3">
    <w:name w:val="List Continue 3"/>
    <w:basedOn w:val="List3"/>
    <w:rsid w:val="00D62783"/>
    <w:pPr>
      <w:ind w:left="1021" w:firstLine="0"/>
    </w:pPr>
  </w:style>
  <w:style w:type="paragraph" w:styleId="ListContinue4">
    <w:name w:val="List Continue 4"/>
    <w:basedOn w:val="List4"/>
    <w:rsid w:val="00D62783"/>
    <w:pPr>
      <w:ind w:firstLine="0"/>
    </w:pPr>
  </w:style>
  <w:style w:type="paragraph" w:styleId="ListContinue5">
    <w:name w:val="List Continue 5"/>
    <w:basedOn w:val="List5"/>
    <w:rsid w:val="00D62783"/>
    <w:pPr>
      <w:ind w:firstLine="0"/>
    </w:pPr>
  </w:style>
  <w:style w:type="paragraph" w:styleId="ListNumber3">
    <w:name w:val="List Number 3"/>
    <w:basedOn w:val="List3"/>
    <w:rsid w:val="00D62783"/>
    <w:pPr>
      <w:numPr>
        <w:numId w:val="3"/>
      </w:numPr>
    </w:pPr>
  </w:style>
  <w:style w:type="paragraph" w:styleId="ListNumber4">
    <w:name w:val="List Number 4"/>
    <w:basedOn w:val="List4"/>
    <w:rsid w:val="00D62783"/>
    <w:pPr>
      <w:numPr>
        <w:numId w:val="4"/>
      </w:numPr>
    </w:pPr>
  </w:style>
  <w:style w:type="paragraph" w:styleId="ListNumber5">
    <w:name w:val="List Number 5"/>
    <w:basedOn w:val="List5"/>
    <w:rsid w:val="00D62783"/>
    <w:pPr>
      <w:numPr>
        <w:numId w:val="5"/>
      </w:numPr>
    </w:pPr>
  </w:style>
  <w:style w:type="paragraph" w:styleId="BlockText">
    <w:name w:val="Block Text"/>
    <w:basedOn w:val="Normal"/>
    <w:rsid w:val="00D62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783"/>
    <w:rPr>
      <w:sz w:val="16"/>
      <w:vertAlign w:val="superscript"/>
    </w:rPr>
  </w:style>
  <w:style w:type="character" w:customStyle="1" w:styleId="Symbols">
    <w:name w:val="Symbols"/>
    <w:basedOn w:val="DefaultParagraphFont"/>
    <w:rsid w:val="00D62783"/>
    <w:rPr>
      <w:rFonts w:ascii="Symbol" w:hAnsi="Symbol"/>
    </w:rPr>
  </w:style>
  <w:style w:type="character" w:customStyle="1" w:styleId="MenuOptions">
    <w:name w:val="Menu Options"/>
    <w:basedOn w:val="DefaultParagraphFont"/>
    <w:rsid w:val="00D62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783"/>
    <w:rPr>
      <w:b/>
    </w:rPr>
  </w:style>
  <w:style w:type="character" w:customStyle="1" w:styleId="Underlined">
    <w:name w:val="Underlined"/>
    <w:basedOn w:val="DefaultParagraphFont"/>
    <w:rsid w:val="00D62783"/>
    <w:rPr>
      <w:u w:val="single"/>
    </w:rPr>
  </w:style>
  <w:style w:type="paragraph" w:customStyle="1" w:styleId="TableBodyTextRight">
    <w:name w:val="Table Body Text Right"/>
    <w:basedOn w:val="TableBodyText"/>
    <w:rsid w:val="00D62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783"/>
    <w:rPr>
      <w:sz w:val="18"/>
    </w:rPr>
  </w:style>
  <w:style w:type="paragraph" w:customStyle="1" w:styleId="BodySmallRight">
    <w:name w:val="Body Small Right"/>
    <w:basedOn w:val="BodyTextRight"/>
    <w:rsid w:val="00D62783"/>
    <w:rPr>
      <w:sz w:val="18"/>
      <w:szCs w:val="18"/>
    </w:rPr>
  </w:style>
  <w:style w:type="paragraph" w:customStyle="1" w:styleId="MarginEdition">
    <w:name w:val="Margin Edition"/>
    <w:basedOn w:val="MarginNote"/>
    <w:rsid w:val="00D62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783"/>
    <w:rPr>
      <w:sz w:val="2"/>
      <w:szCs w:val="2"/>
    </w:rPr>
  </w:style>
  <w:style w:type="character" w:customStyle="1" w:styleId="Small">
    <w:name w:val="Small"/>
    <w:basedOn w:val="DefaultParagraphFont"/>
    <w:rsid w:val="00D62783"/>
    <w:rPr>
      <w:sz w:val="16"/>
    </w:rPr>
  </w:style>
  <w:style w:type="paragraph" w:customStyle="1" w:styleId="WideTable">
    <w:name w:val="Wide Table"/>
    <w:basedOn w:val="Normal"/>
    <w:rsid w:val="00D62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783"/>
  </w:style>
  <w:style w:type="paragraph" w:styleId="Quote">
    <w:name w:val="Quote"/>
    <w:basedOn w:val="Heading1"/>
    <w:link w:val="QuoteChar"/>
    <w:qFormat/>
    <w:rsid w:val="00D62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783"/>
    <w:pPr>
      <w:pageBreakBefore/>
    </w:pPr>
  </w:style>
  <w:style w:type="paragraph" w:customStyle="1" w:styleId="Border">
    <w:name w:val="Border"/>
    <w:basedOn w:val="Normal"/>
    <w:qFormat/>
    <w:rsid w:val="00D62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783"/>
    <w:rPr>
      <w:u w:val="single"/>
    </w:rPr>
  </w:style>
  <w:style w:type="character" w:customStyle="1" w:styleId="BoldandItalics">
    <w:name w:val="Bold and Italics"/>
    <w:qFormat/>
    <w:rsid w:val="00D62783"/>
    <w:rPr>
      <w:b/>
      <w:i/>
      <w:u w:val="none"/>
    </w:rPr>
  </w:style>
  <w:style w:type="paragraph" w:styleId="BalloonText">
    <w:name w:val="Balloon Text"/>
    <w:basedOn w:val="Normal"/>
    <w:link w:val="BalloonTextChar"/>
    <w:rsid w:val="00D6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783"/>
    <w:pPr>
      <w:spacing w:before="0" w:after="0"/>
    </w:pPr>
  </w:style>
  <w:style w:type="paragraph" w:customStyle="1" w:styleId="BodyTextBold">
    <w:name w:val="Body Text Bold"/>
    <w:basedOn w:val="BodyText"/>
    <w:qFormat/>
    <w:rsid w:val="00D62783"/>
    <w:rPr>
      <w:b/>
    </w:rPr>
  </w:style>
  <w:style w:type="character" w:styleId="Hyperlink">
    <w:name w:val="Hyperlink"/>
    <w:basedOn w:val="DefaultParagraphFont"/>
    <w:uiPriority w:val="99"/>
    <w:unhideWhenUsed/>
    <w:rsid w:val="009624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2835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TLIE2032 Assess removal load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