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CDC" w:rsidP="00674CDC">
      <w:pPr>
        <w:pStyle w:val="Title"/>
      </w:pPr>
      <w:r>
        <w:fldChar w:fldCharType="begin"/>
      </w:r>
      <w:r>
        <w:instrText xml:space="preserve"> TITLE   \* MERGEFORMAT </w:instrText>
      </w:r>
      <w:r>
        <w:fldChar w:fldCharType="separate"/>
      </w:r>
      <w:r>
        <w:t>TLIE0011 Assess removal load</w:t>
      </w:r>
      <w:r>
        <w:fldChar w:fldCharType="end"/>
      </w:r>
    </w:p>
    <w:p w:rsidR="00674CDC" w:rsidP="00674CDC">
      <w:pPr>
        <w:pStyle w:val="Version"/>
        <w:sectPr w:rsidSect="00684B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4B2B" w:rsidP="00684B2B">
      <w:pPr>
        <w:pStyle w:val="SuperHeading"/>
      </w:pPr>
      <w:r w:rsidRPr="00684B2B">
        <w:t>TLIE0011 Assess removal load</w:t>
      </w:r>
    </w:p>
    <w:p w:rsidR="00000000" w:rsidRPr="00684B2B" w:rsidP="00684B2B">
      <w:pPr>
        <w:pStyle w:val="Heading1"/>
      </w:pPr>
      <w:bookmarkStart w:id="1" w:name="O_1299135"/>
      <w:bookmarkEnd w:id="1"/>
      <w:r w:rsidRPr="00684B2B">
        <w:t>Modification History</w:t>
      </w:r>
    </w:p>
    <w:tbl>
      <w:tblPr>
        <w:tblW w:w="9497" w:type="dxa"/>
        <w:tblLayout w:type="fixed"/>
        <w:tblCellMar>
          <w:left w:w="62" w:type="dxa"/>
          <w:right w:w="62" w:type="dxa"/>
        </w:tblCellMar>
        <w:tblLook w:val="0000"/>
      </w:tblPr>
      <w:tblGrid>
        <w:gridCol w:w="9497"/>
      </w:tblGrid>
      <w:tr w:rsidTr="00684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4B2B" w:rsidP="00684B2B">
            <w:pPr>
              <w:pStyle w:val="BodyText"/>
            </w:pPr>
            <w:r w:rsidRPr="00684B2B">
              <w:rPr>
                <w:rStyle w:val="SpecialBold"/>
              </w:rPr>
              <w:t>Release 1.</w:t>
            </w:r>
            <w:r w:rsidRPr="00684B2B">
              <w:t xml:space="preserve"> This is the first release of this unit of competency in the TLI Transport and Logistics Training Package.</w:t>
            </w:r>
          </w:p>
        </w:tc>
      </w:tr>
    </w:tbl>
    <w:p w:rsidR="00000000" w:rsidRPr="00684B2B" w:rsidP="00684B2B">
      <w:pPr>
        <w:pStyle w:val="NoPaddingFontSize1"/>
      </w:pPr>
    </w:p>
    <w:p w:rsidR="00000000" w:rsidRPr="00684B2B" w:rsidP="00684B2B">
      <w:pPr>
        <w:pStyle w:val="AllowPageBreak"/>
      </w:pPr>
    </w:p>
    <w:p w:rsidR="00000000" w:rsidRPr="00684B2B" w:rsidP="00684B2B">
      <w:pPr>
        <w:pStyle w:val="Heading1"/>
      </w:pPr>
      <w:bookmarkStart w:id="2" w:name="O_1299136"/>
      <w:bookmarkEnd w:id="2"/>
      <w:r w:rsidRPr="00684B2B">
        <w:t>Application</w:t>
      </w:r>
    </w:p>
    <w:tbl>
      <w:tblPr>
        <w:tblW w:w="9497" w:type="dxa"/>
        <w:tblLayout w:type="fixed"/>
        <w:tblCellMar>
          <w:left w:w="62" w:type="dxa"/>
          <w:right w:w="62" w:type="dxa"/>
        </w:tblCellMar>
        <w:tblLook w:val="0000"/>
      </w:tblPr>
      <w:tblGrid>
        <w:gridCol w:w="9497"/>
      </w:tblGrid>
      <w:tr w:rsidTr="00684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4B2B" w:rsidP="00684B2B">
            <w:pPr>
              <w:pStyle w:val="BodyText"/>
            </w:pPr>
            <w:r w:rsidRPr="00684B2B">
              <w:t>This unit involves the skills and knowledge required to assess a removal load for pre</w:t>
            </w:r>
            <w:r w:rsidRPr="00684B2B">
              <w:t>-packing across a variety of removal contexts, in compliance with relevant industry codes of practice and workplace procedures.</w:t>
            </w:r>
          </w:p>
          <w:p w:rsidR="00000000" w:rsidRPr="00684B2B" w:rsidP="00684B2B">
            <w:pPr>
              <w:pStyle w:val="BodyText"/>
            </w:pPr>
            <w:r w:rsidRPr="00684B2B">
              <w:t>It includes selecting packing materials and equipment, identifying potential hazards, identifying discrepancies against inventor</w:t>
            </w:r>
            <w:r w:rsidRPr="00684B2B">
              <w:t>y, ensuring all pre-packed items are ready for removal, and completing all relevant records.</w:t>
            </w:r>
          </w:p>
          <w:p w:rsidR="00000000" w:rsidRPr="00684B2B" w:rsidP="00684B2B">
            <w:pPr>
              <w:pStyle w:val="BodyText"/>
            </w:pPr>
            <w:r w:rsidRPr="00684B2B">
              <w:t>Work is performed under limited or minimum supervision.</w:t>
            </w:r>
          </w:p>
          <w:p w:rsidR="00000000" w:rsidRPr="00684B2B" w:rsidP="00684B2B">
            <w:pPr>
              <w:pStyle w:val="BodyText"/>
            </w:pPr>
            <w:r w:rsidRPr="00684B2B">
              <w:t>No licensing, legislative or certification requirements apply to this unit at the time of publication.</w:t>
            </w:r>
          </w:p>
        </w:tc>
      </w:tr>
    </w:tbl>
    <w:p w:rsidR="00000000" w:rsidRPr="00684B2B" w:rsidP="00684B2B">
      <w:pPr>
        <w:pStyle w:val="NoPaddingFontSize1"/>
      </w:pPr>
    </w:p>
    <w:p w:rsidR="00000000" w:rsidRPr="00684B2B" w:rsidP="00684B2B">
      <w:pPr>
        <w:pStyle w:val="AllowPageBreak"/>
      </w:pPr>
    </w:p>
    <w:p w:rsidR="00000000" w:rsidRPr="00684B2B" w:rsidP="00684B2B">
      <w:pPr>
        <w:pStyle w:val="Heading1"/>
      </w:pPr>
      <w:bookmarkStart w:id="3" w:name="O_1299137"/>
      <w:bookmarkEnd w:id="3"/>
      <w:r w:rsidRPr="00684B2B">
        <w:t>Pre-requisite Unit</w:t>
      </w:r>
    </w:p>
    <w:tbl>
      <w:tblPr>
        <w:tblW w:w="9497" w:type="dxa"/>
        <w:tblLayout w:type="fixed"/>
        <w:tblCellMar>
          <w:left w:w="62" w:type="dxa"/>
          <w:right w:w="62" w:type="dxa"/>
        </w:tblCellMar>
        <w:tblLook w:val="0000"/>
      </w:tblPr>
      <w:tblGrid>
        <w:gridCol w:w="9497"/>
      </w:tblGrid>
      <w:tr w:rsidTr="00684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4B2B" w:rsidP="00684B2B">
            <w:pPr>
              <w:pStyle w:val="BodyText"/>
            </w:pPr>
            <w:r w:rsidRPr="00684B2B">
              <w:t>Not applicable.</w:t>
            </w:r>
          </w:p>
        </w:tc>
      </w:tr>
    </w:tbl>
    <w:p w:rsidR="00000000" w:rsidRPr="00684B2B" w:rsidP="00684B2B">
      <w:pPr>
        <w:pStyle w:val="NoPaddingFontSize1"/>
      </w:pPr>
    </w:p>
    <w:p w:rsidR="00000000" w:rsidRPr="00684B2B" w:rsidP="00684B2B">
      <w:pPr>
        <w:pStyle w:val="AllowPageBreak"/>
      </w:pPr>
    </w:p>
    <w:p w:rsidR="00000000" w:rsidRPr="00684B2B" w:rsidP="00684B2B">
      <w:pPr>
        <w:pStyle w:val="Heading1"/>
      </w:pPr>
      <w:bookmarkStart w:id="4" w:name="O_1299138"/>
      <w:bookmarkEnd w:id="4"/>
      <w:r w:rsidRPr="00684B2B">
        <w:t>Competency Field</w:t>
      </w:r>
    </w:p>
    <w:tbl>
      <w:tblPr>
        <w:tblW w:w="9497" w:type="dxa"/>
        <w:tblLayout w:type="fixed"/>
        <w:tblCellMar>
          <w:left w:w="62" w:type="dxa"/>
          <w:right w:w="62" w:type="dxa"/>
        </w:tblCellMar>
        <w:tblLook w:val="0000"/>
      </w:tblPr>
      <w:tblGrid>
        <w:gridCol w:w="9497"/>
      </w:tblGrid>
      <w:tr w:rsidTr="00684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4B2B" w:rsidP="00684B2B">
            <w:pPr>
              <w:pStyle w:val="BodyText"/>
            </w:pPr>
            <w:r w:rsidRPr="00684B2B">
              <w:t>E – Communication and calculation</w:t>
            </w:r>
          </w:p>
        </w:tc>
      </w:tr>
    </w:tbl>
    <w:p w:rsidR="00000000" w:rsidRPr="00684B2B" w:rsidP="00684B2B">
      <w:pPr>
        <w:pStyle w:val="NoPaddingFontSize1"/>
      </w:pPr>
    </w:p>
    <w:p w:rsidR="00000000" w:rsidRPr="00684B2B" w:rsidP="00684B2B">
      <w:pPr>
        <w:pStyle w:val="AllowPageBreak"/>
      </w:pPr>
    </w:p>
    <w:p w:rsidR="00000000" w:rsidRPr="00684B2B" w:rsidP="00684B2B">
      <w:pPr>
        <w:pStyle w:val="Heading1"/>
      </w:pPr>
      <w:bookmarkStart w:id="5" w:name="O_1299139"/>
      <w:bookmarkEnd w:id="5"/>
      <w:r w:rsidRPr="00684B2B">
        <w:t>Unit Sector</w:t>
      </w:r>
    </w:p>
    <w:tbl>
      <w:tblPr>
        <w:tblW w:w="9497" w:type="dxa"/>
        <w:tblLayout w:type="fixed"/>
        <w:tblCellMar>
          <w:left w:w="62" w:type="dxa"/>
          <w:right w:w="62" w:type="dxa"/>
        </w:tblCellMar>
        <w:tblLook w:val="0000"/>
      </w:tblPr>
      <w:tblGrid>
        <w:gridCol w:w="9497"/>
      </w:tblGrid>
      <w:tr w:rsidTr="00684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4B2B" w:rsidP="00684B2B">
            <w:pPr>
              <w:pStyle w:val="BodyText"/>
            </w:pPr>
            <w:r w:rsidRPr="00684B2B">
              <w:t>Not applicable.</w:t>
            </w:r>
          </w:p>
        </w:tc>
      </w:tr>
    </w:tbl>
    <w:p w:rsidR="00000000" w:rsidRPr="00684B2B" w:rsidP="00684B2B">
      <w:pPr>
        <w:pStyle w:val="NoPaddingFontSize1"/>
      </w:pPr>
    </w:p>
    <w:p w:rsidR="00000000" w:rsidRPr="00684B2B" w:rsidP="00684B2B">
      <w:pPr>
        <w:pStyle w:val="AllowPageBreak"/>
      </w:pPr>
    </w:p>
    <w:p w:rsidR="00000000" w:rsidRPr="00684B2B" w:rsidP="00684B2B">
      <w:pPr>
        <w:pStyle w:val="Heading1"/>
      </w:pPr>
      <w:bookmarkStart w:id="6" w:name="O_1299140"/>
      <w:bookmarkEnd w:id="6"/>
      <w:r w:rsidRPr="00684B2B">
        <w:t>Elements and Performance Criteria</w:t>
      </w:r>
    </w:p>
    <w:tbl>
      <w:tblPr>
        <w:tblW w:w="9497" w:type="dxa"/>
        <w:tblLayout w:type="fixed"/>
        <w:tblCellMar>
          <w:left w:w="62" w:type="dxa"/>
          <w:right w:w="62" w:type="dxa"/>
        </w:tblCellMar>
        <w:tblLook w:val="0000"/>
      </w:tblPr>
      <w:tblGrid>
        <w:gridCol w:w="835"/>
        <w:gridCol w:w="2458"/>
        <w:gridCol w:w="1581"/>
        <w:gridCol w:w="4623"/>
      </w:tblGrid>
      <w:tr w:rsidTr="00684B2B">
        <w:tblPrEx>
          <w:tblW w:w="9497" w:type="dxa"/>
          <w:tblLayout w:type="fixed"/>
          <w:tblCellMar>
            <w:left w:w="62" w:type="dxa"/>
            <w:right w:w="62" w:type="dxa"/>
          </w:tblCellMar>
          <w:tblLook w:val="0000"/>
        </w:tblPrEx>
        <w:tc>
          <w:tcPr>
            <w:tcW w:w="3293" w:type="dxa"/>
            <w:gridSpan w:val="2"/>
            <w:tcBorders>
              <w:top w:val="nil"/>
              <w:left w:val="nil"/>
              <w:bottom w:val="nil"/>
              <w:right w:val="nil"/>
            </w:tcBorders>
            <w:tcMar>
              <w:top w:w="0" w:type="dxa"/>
              <w:left w:w="62" w:type="dxa"/>
              <w:bottom w:w="0" w:type="dxa"/>
              <w:right w:w="62" w:type="dxa"/>
            </w:tcMar>
          </w:tcPr>
          <w:p w:rsidR="00000000" w:rsidRPr="00684B2B" w:rsidP="00684B2B">
            <w:pPr>
              <w:pStyle w:val="BodyText"/>
            </w:pPr>
            <w:r w:rsidRPr="00684B2B">
              <w:rPr>
                <w:rStyle w:val="SpecialBold"/>
              </w:rPr>
              <w:t>ELEMENTS</w:t>
            </w:r>
          </w:p>
        </w:tc>
        <w:tc>
          <w:tcPr>
            <w:tcW w:w="6204" w:type="dxa"/>
            <w:gridSpan w:val="2"/>
            <w:tcBorders>
              <w:top w:val="nil"/>
              <w:left w:val="nil"/>
              <w:bottom w:val="nil"/>
              <w:right w:val="nil"/>
            </w:tcBorders>
            <w:tcMar>
              <w:top w:w="0" w:type="dxa"/>
              <w:left w:w="62" w:type="dxa"/>
              <w:bottom w:w="0" w:type="dxa"/>
              <w:right w:w="62" w:type="dxa"/>
            </w:tcMar>
          </w:tcPr>
          <w:p w:rsidR="00000000" w:rsidP="00684B2B">
            <w:pPr>
              <w:pStyle w:val="BodyText"/>
              <w:rPr>
                <w:lang w:val="en-NZ"/>
              </w:rPr>
            </w:pPr>
            <w:r w:rsidRPr="00684B2B">
              <w:rPr>
                <w:rStyle w:val="SpecialBold"/>
              </w:rPr>
              <w:t>PERFORMANCE CRITERIA</w:t>
            </w:r>
          </w:p>
        </w:tc>
      </w:tr>
      <w:tr w:rsidTr="00684B2B">
        <w:tblPrEx>
          <w:tblW w:w="9497" w:type="dxa"/>
          <w:tblLayout w:type="fixed"/>
          <w:tblCellMar>
            <w:left w:w="62" w:type="dxa"/>
            <w:right w:w="62" w:type="dxa"/>
          </w:tblCellMar>
          <w:tblLook w:val="0000"/>
        </w:tblPrEx>
        <w:tc>
          <w:tcPr>
            <w:tcW w:w="3293" w:type="dxa"/>
            <w:gridSpan w:val="2"/>
            <w:tcBorders>
              <w:top w:val="nil"/>
              <w:left w:val="nil"/>
              <w:bottom w:val="nil"/>
              <w:right w:val="nil"/>
            </w:tcBorders>
            <w:tcMar>
              <w:top w:w="0" w:type="dxa"/>
              <w:left w:w="62" w:type="dxa"/>
              <w:bottom w:w="0" w:type="dxa"/>
              <w:right w:w="62" w:type="dxa"/>
            </w:tcMar>
          </w:tcPr>
          <w:p w:rsidR="00000000" w:rsidP="00684B2B">
            <w:pPr>
              <w:pStyle w:val="BodyText"/>
              <w:rPr>
                <w:lang w:val="en-NZ"/>
              </w:rPr>
            </w:pPr>
            <w:r w:rsidRPr="00684B2B">
              <w:t>Elements describe the essential outcomes.</w:t>
            </w:r>
          </w:p>
        </w:tc>
        <w:tc>
          <w:tcPr>
            <w:tcW w:w="6204" w:type="dxa"/>
            <w:gridSpan w:val="2"/>
            <w:tcBorders>
              <w:top w:val="nil"/>
              <w:left w:val="nil"/>
              <w:bottom w:val="nil"/>
              <w:right w:val="nil"/>
            </w:tcBorders>
            <w:tcMar>
              <w:top w:w="0" w:type="dxa"/>
              <w:left w:w="62" w:type="dxa"/>
              <w:bottom w:w="0" w:type="dxa"/>
              <w:right w:w="62" w:type="dxa"/>
            </w:tcMar>
          </w:tcPr>
          <w:p w:rsidR="00000000" w:rsidP="00684B2B">
            <w:pPr>
              <w:pStyle w:val="BodyText"/>
              <w:rPr>
                <w:lang w:val="en-NZ"/>
              </w:rPr>
            </w:pPr>
            <w:r w:rsidRPr="00684B2B">
              <w:t>Performance criteria describe the performance needed to demonstrate achievement of the element.</w:t>
            </w:r>
          </w:p>
        </w:tc>
      </w:tr>
      <w:tr w:rsidTr="00684B2B">
        <w:tblPrEx>
          <w:tblW w:w="9497" w:type="dxa"/>
          <w:tblLayout w:type="fixed"/>
          <w:tblCellMar>
            <w:left w:w="62" w:type="dxa"/>
            <w:right w:w="62" w:type="dxa"/>
          </w:tblCellMar>
          <w:tblLook w:val="0000"/>
        </w:tblPrEx>
        <w:tc>
          <w:tcPr>
            <w:tcW w:w="835" w:type="dxa"/>
            <w:tcBorders>
              <w:top w:val="nil"/>
              <w:left w:val="nil"/>
              <w:bottom w:val="nil"/>
              <w:right w:val="nil"/>
            </w:tcBorders>
            <w:tcMar>
              <w:top w:w="0" w:type="dxa"/>
              <w:left w:w="62" w:type="dxa"/>
              <w:bottom w:w="0" w:type="dxa"/>
              <w:right w:w="62" w:type="dxa"/>
            </w:tcMar>
          </w:tcPr>
          <w:p w:rsidR="00000000" w:rsidRPr="00684B2B" w:rsidP="00684B2B">
            <w:pPr>
              <w:pStyle w:val="BodyText"/>
            </w:pPr>
            <w:r w:rsidRPr="00684B2B">
              <w:rPr>
                <w:rStyle w:val="SpecialBold"/>
              </w:rPr>
              <w:t>1</w:t>
            </w:r>
          </w:p>
        </w:tc>
        <w:tc>
          <w:tcPr>
            <w:tcW w:w="2458" w:type="dxa"/>
            <w:tcBorders>
              <w:top w:val="nil"/>
              <w:left w:val="nil"/>
              <w:bottom w:val="nil"/>
              <w:right w:val="nil"/>
            </w:tcBorders>
            <w:tcMar>
              <w:top w:w="0" w:type="dxa"/>
              <w:left w:w="62" w:type="dxa"/>
              <w:bottom w:w="0" w:type="dxa"/>
              <w:right w:w="62" w:type="dxa"/>
            </w:tcMar>
          </w:tcPr>
          <w:p w:rsidR="00000000" w:rsidRPr="00684B2B" w:rsidP="00684B2B">
            <w:pPr>
              <w:pStyle w:val="BodyText"/>
            </w:pPr>
            <w:r w:rsidRPr="00684B2B">
              <w:rPr>
                <w:rStyle w:val="SpecialBold"/>
              </w:rPr>
              <w:t>Check removal requirements</w:t>
            </w:r>
          </w:p>
        </w:tc>
        <w:tc>
          <w:tcPr>
            <w:tcW w:w="1581" w:type="dxa"/>
            <w:tcBorders>
              <w:top w:val="nil"/>
              <w:left w:val="nil"/>
              <w:bottom w:val="nil"/>
              <w:right w:val="nil"/>
            </w:tcBorders>
            <w:tcMar>
              <w:top w:w="0" w:type="dxa"/>
              <w:left w:w="62" w:type="dxa"/>
              <w:bottom w:w="0" w:type="dxa"/>
              <w:right w:w="62" w:type="dxa"/>
            </w:tcMar>
          </w:tcPr>
          <w:p w:rsidR="00000000" w:rsidP="00684B2B">
            <w:pPr>
              <w:pStyle w:val="BodyText"/>
              <w:rPr>
                <w:lang w:val="en-NZ"/>
              </w:rPr>
            </w:pPr>
            <w:r w:rsidRPr="00684B2B">
              <w:rPr>
                <w:rStyle w:val="SpecialBold"/>
              </w:rPr>
              <w:t>1.1</w:t>
            </w:r>
          </w:p>
        </w:tc>
        <w:tc>
          <w:tcPr>
            <w:tcW w:w="4623" w:type="dxa"/>
            <w:tcBorders>
              <w:top w:val="nil"/>
              <w:left w:val="nil"/>
              <w:bottom w:val="nil"/>
              <w:right w:val="nil"/>
            </w:tcBorders>
            <w:tcMar>
              <w:top w:w="0" w:type="dxa"/>
              <w:left w:w="62" w:type="dxa"/>
              <w:bottom w:w="0" w:type="dxa"/>
              <w:right w:w="62" w:type="dxa"/>
            </w:tcMar>
          </w:tcPr>
          <w:p w:rsidR="00000000" w:rsidP="00684B2B">
            <w:pPr>
              <w:pStyle w:val="BodyText"/>
              <w:rPr>
                <w:lang w:val="en-NZ"/>
              </w:rPr>
            </w:pPr>
            <w:r w:rsidRPr="00684B2B">
              <w:t>Potential hazards are identified and appropriate action is planned to minimise risk or injury to persons or damage to items, equipment or structure</w:t>
            </w:r>
          </w:p>
        </w:tc>
      </w:tr>
      <w:tr w:rsidTr="00684B2B">
        <w:tblPrEx>
          <w:tblW w:w="9497" w:type="dxa"/>
          <w:tblLayout w:type="fixed"/>
          <w:tblCellMar>
            <w:left w:w="62" w:type="dxa"/>
            <w:right w:w="62" w:type="dxa"/>
          </w:tblCellMar>
          <w:tblLook w:val="0000"/>
        </w:tblPrEx>
        <w:tc>
          <w:tcPr>
            <w:tcW w:w="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58" w:type="dxa"/>
            <w:tcBorders>
              <w:top w:val="nil"/>
              <w:left w:val="nil"/>
              <w:bottom w:val="nil"/>
              <w:right w:val="nil"/>
            </w:tcBorders>
            <w:tcMar>
              <w:top w:w="0" w:type="dxa"/>
              <w:left w:w="62" w:type="dxa"/>
              <w:bottom w:w="0" w:type="dxa"/>
              <w:right w:w="62" w:type="dxa"/>
            </w:tcMar>
          </w:tcPr>
          <w:p w:rsidR="00000000" w:rsidRPr="00684B2B">
            <w:pPr>
              <w:pStyle w:val="BodyText"/>
              <w:keepLines w:val="0"/>
              <w:spacing w:before="0" w:after="0"/>
            </w:pPr>
          </w:p>
        </w:tc>
        <w:tc>
          <w:tcPr>
            <w:tcW w:w="1581" w:type="dxa"/>
            <w:tcBorders>
              <w:top w:val="nil"/>
              <w:left w:val="nil"/>
              <w:bottom w:val="nil"/>
              <w:right w:val="nil"/>
            </w:tcBorders>
            <w:tcMar>
              <w:top w:w="0" w:type="dxa"/>
              <w:left w:w="62" w:type="dxa"/>
              <w:bottom w:w="0" w:type="dxa"/>
              <w:right w:w="62" w:type="dxa"/>
            </w:tcMar>
          </w:tcPr>
          <w:p w:rsidR="00000000" w:rsidP="00684B2B">
            <w:pPr>
              <w:pStyle w:val="BodyText"/>
              <w:rPr>
                <w:lang w:val="en-NZ"/>
              </w:rPr>
            </w:pPr>
            <w:r w:rsidRPr="00684B2B">
              <w:rPr>
                <w:rStyle w:val="SpecialBold"/>
              </w:rPr>
              <w:t>1.2</w:t>
            </w:r>
          </w:p>
        </w:tc>
        <w:tc>
          <w:tcPr>
            <w:tcW w:w="4623" w:type="dxa"/>
            <w:tcBorders>
              <w:top w:val="nil"/>
              <w:left w:val="nil"/>
              <w:bottom w:val="nil"/>
              <w:right w:val="nil"/>
            </w:tcBorders>
            <w:tcMar>
              <w:top w:w="0" w:type="dxa"/>
              <w:left w:w="62" w:type="dxa"/>
              <w:bottom w:w="0" w:type="dxa"/>
              <w:right w:w="62" w:type="dxa"/>
            </w:tcMar>
          </w:tcPr>
          <w:p w:rsidR="00000000" w:rsidP="00684B2B">
            <w:pPr>
              <w:pStyle w:val="BodyText"/>
              <w:rPr>
                <w:lang w:val="en-NZ"/>
              </w:rPr>
            </w:pPr>
            <w:r w:rsidRPr="00684B2B">
              <w:t>In consultation with client or agent, agreed removal inventory is checked for accuracy and discrepanc</w:t>
            </w:r>
            <w:r w:rsidRPr="00684B2B">
              <w:t>ies and confirmed prior to uplift in accordance with workplace procedures</w:t>
            </w:r>
          </w:p>
        </w:tc>
      </w:tr>
      <w:tr w:rsidTr="00684B2B">
        <w:tblPrEx>
          <w:tblW w:w="9497" w:type="dxa"/>
          <w:tblLayout w:type="fixed"/>
          <w:tblCellMar>
            <w:left w:w="62" w:type="dxa"/>
            <w:right w:w="62" w:type="dxa"/>
          </w:tblCellMar>
          <w:tblLook w:val="0000"/>
        </w:tblPrEx>
        <w:tc>
          <w:tcPr>
            <w:tcW w:w="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58" w:type="dxa"/>
            <w:tcBorders>
              <w:top w:val="nil"/>
              <w:left w:val="nil"/>
              <w:bottom w:val="nil"/>
              <w:right w:val="nil"/>
            </w:tcBorders>
            <w:tcMar>
              <w:top w:w="0" w:type="dxa"/>
              <w:left w:w="62" w:type="dxa"/>
              <w:bottom w:w="0" w:type="dxa"/>
              <w:right w:w="62" w:type="dxa"/>
            </w:tcMar>
          </w:tcPr>
          <w:p w:rsidR="00000000" w:rsidRPr="00684B2B">
            <w:pPr>
              <w:pStyle w:val="BodyText"/>
              <w:keepLines w:val="0"/>
              <w:spacing w:before="0" w:after="0"/>
            </w:pPr>
          </w:p>
        </w:tc>
        <w:tc>
          <w:tcPr>
            <w:tcW w:w="1581" w:type="dxa"/>
            <w:tcBorders>
              <w:top w:val="nil"/>
              <w:left w:val="nil"/>
              <w:bottom w:val="nil"/>
              <w:right w:val="nil"/>
            </w:tcBorders>
            <w:tcMar>
              <w:top w:w="0" w:type="dxa"/>
              <w:left w:w="62" w:type="dxa"/>
              <w:bottom w:w="0" w:type="dxa"/>
              <w:right w:w="62" w:type="dxa"/>
            </w:tcMar>
          </w:tcPr>
          <w:p w:rsidR="00000000" w:rsidP="00684B2B">
            <w:pPr>
              <w:pStyle w:val="BodyText"/>
              <w:rPr>
                <w:lang w:val="en-NZ"/>
              </w:rPr>
            </w:pPr>
            <w:r w:rsidRPr="00684B2B">
              <w:rPr>
                <w:rStyle w:val="SpecialBold"/>
              </w:rPr>
              <w:t>1.3</w:t>
            </w:r>
          </w:p>
        </w:tc>
        <w:tc>
          <w:tcPr>
            <w:tcW w:w="4623" w:type="dxa"/>
            <w:tcBorders>
              <w:top w:val="nil"/>
              <w:left w:val="nil"/>
              <w:bottom w:val="nil"/>
              <w:right w:val="nil"/>
            </w:tcBorders>
            <w:tcMar>
              <w:top w:w="0" w:type="dxa"/>
              <w:left w:w="62" w:type="dxa"/>
              <w:bottom w:w="0" w:type="dxa"/>
              <w:right w:w="62" w:type="dxa"/>
            </w:tcMar>
          </w:tcPr>
          <w:p w:rsidR="00000000" w:rsidP="00684B2B">
            <w:pPr>
              <w:pStyle w:val="BodyText"/>
              <w:rPr>
                <w:lang w:val="en-NZ"/>
              </w:rPr>
            </w:pPr>
            <w:r w:rsidRPr="00684B2B">
              <w:t>Special requirements are identified in consultation with client or agent and documented in accordance with workplace procedures</w:t>
            </w:r>
          </w:p>
        </w:tc>
      </w:tr>
      <w:tr w:rsidTr="00684B2B">
        <w:tblPrEx>
          <w:tblW w:w="9497" w:type="dxa"/>
          <w:tblLayout w:type="fixed"/>
          <w:tblCellMar>
            <w:left w:w="62" w:type="dxa"/>
            <w:right w:w="62" w:type="dxa"/>
          </w:tblCellMar>
          <w:tblLook w:val="0000"/>
        </w:tblPrEx>
        <w:tc>
          <w:tcPr>
            <w:tcW w:w="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58" w:type="dxa"/>
            <w:tcBorders>
              <w:top w:val="nil"/>
              <w:left w:val="nil"/>
              <w:bottom w:val="nil"/>
              <w:right w:val="nil"/>
            </w:tcBorders>
            <w:tcMar>
              <w:top w:w="0" w:type="dxa"/>
              <w:left w:w="62" w:type="dxa"/>
              <w:bottom w:w="0" w:type="dxa"/>
              <w:right w:w="62" w:type="dxa"/>
            </w:tcMar>
          </w:tcPr>
          <w:p w:rsidR="00000000" w:rsidRPr="00684B2B">
            <w:pPr>
              <w:pStyle w:val="BodyText"/>
              <w:keepLines w:val="0"/>
              <w:spacing w:before="0" w:after="0"/>
            </w:pPr>
          </w:p>
        </w:tc>
        <w:tc>
          <w:tcPr>
            <w:tcW w:w="1581" w:type="dxa"/>
            <w:tcBorders>
              <w:top w:val="nil"/>
              <w:left w:val="nil"/>
              <w:bottom w:val="nil"/>
              <w:right w:val="nil"/>
            </w:tcBorders>
            <w:tcMar>
              <w:top w:w="0" w:type="dxa"/>
              <w:left w:w="62" w:type="dxa"/>
              <w:bottom w:w="0" w:type="dxa"/>
              <w:right w:w="62" w:type="dxa"/>
            </w:tcMar>
          </w:tcPr>
          <w:p w:rsidR="00000000" w:rsidP="00684B2B">
            <w:pPr>
              <w:pStyle w:val="BodyText"/>
              <w:rPr>
                <w:lang w:val="en-NZ"/>
              </w:rPr>
            </w:pPr>
            <w:r w:rsidRPr="00684B2B">
              <w:rPr>
                <w:rStyle w:val="SpecialBold"/>
              </w:rPr>
              <w:t>1.4</w:t>
            </w:r>
          </w:p>
        </w:tc>
        <w:tc>
          <w:tcPr>
            <w:tcW w:w="4623" w:type="dxa"/>
            <w:tcBorders>
              <w:top w:val="nil"/>
              <w:left w:val="nil"/>
              <w:bottom w:val="nil"/>
              <w:right w:val="nil"/>
            </w:tcBorders>
            <w:tcMar>
              <w:top w:w="0" w:type="dxa"/>
              <w:left w:w="62" w:type="dxa"/>
              <w:bottom w:w="0" w:type="dxa"/>
              <w:right w:w="62" w:type="dxa"/>
            </w:tcMar>
          </w:tcPr>
          <w:p w:rsidR="00000000" w:rsidP="00684B2B">
            <w:pPr>
              <w:pStyle w:val="BodyText"/>
              <w:rPr>
                <w:lang w:val="en-NZ"/>
              </w:rPr>
            </w:pPr>
            <w:r w:rsidRPr="00684B2B">
              <w:t>Client or agent is advised of any pre-damaged or damage-risked items and appropriate documentation is completed</w:t>
            </w:r>
          </w:p>
        </w:tc>
      </w:tr>
      <w:tr w:rsidTr="00684B2B">
        <w:tblPrEx>
          <w:tblW w:w="9497" w:type="dxa"/>
          <w:tblLayout w:type="fixed"/>
          <w:tblCellMar>
            <w:left w:w="62" w:type="dxa"/>
            <w:right w:w="62" w:type="dxa"/>
          </w:tblCellMar>
          <w:tblLook w:val="0000"/>
        </w:tblPrEx>
        <w:tc>
          <w:tcPr>
            <w:tcW w:w="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58" w:type="dxa"/>
            <w:tcBorders>
              <w:top w:val="nil"/>
              <w:left w:val="nil"/>
              <w:bottom w:val="nil"/>
              <w:right w:val="nil"/>
            </w:tcBorders>
            <w:tcMar>
              <w:top w:w="0" w:type="dxa"/>
              <w:left w:w="62" w:type="dxa"/>
              <w:bottom w:w="0" w:type="dxa"/>
              <w:right w:w="62" w:type="dxa"/>
            </w:tcMar>
          </w:tcPr>
          <w:p w:rsidR="00000000" w:rsidRPr="00684B2B">
            <w:pPr>
              <w:pStyle w:val="BodyText"/>
              <w:keepLines w:val="0"/>
              <w:spacing w:before="0" w:after="0"/>
            </w:pPr>
          </w:p>
        </w:tc>
        <w:tc>
          <w:tcPr>
            <w:tcW w:w="1581" w:type="dxa"/>
            <w:tcBorders>
              <w:top w:val="nil"/>
              <w:left w:val="nil"/>
              <w:bottom w:val="nil"/>
              <w:right w:val="nil"/>
            </w:tcBorders>
            <w:tcMar>
              <w:top w:w="0" w:type="dxa"/>
              <w:left w:w="62" w:type="dxa"/>
              <w:bottom w:w="0" w:type="dxa"/>
              <w:right w:w="62" w:type="dxa"/>
            </w:tcMar>
          </w:tcPr>
          <w:p w:rsidR="00000000" w:rsidP="00684B2B">
            <w:pPr>
              <w:pStyle w:val="BodyText"/>
              <w:rPr>
                <w:lang w:val="en-NZ"/>
              </w:rPr>
            </w:pPr>
            <w:r w:rsidRPr="00684B2B">
              <w:rPr>
                <w:rStyle w:val="SpecialBold"/>
              </w:rPr>
              <w:t>1.5</w:t>
            </w:r>
          </w:p>
        </w:tc>
        <w:tc>
          <w:tcPr>
            <w:tcW w:w="4623" w:type="dxa"/>
            <w:tcBorders>
              <w:top w:val="nil"/>
              <w:left w:val="nil"/>
              <w:bottom w:val="nil"/>
              <w:right w:val="nil"/>
            </w:tcBorders>
            <w:tcMar>
              <w:top w:w="0" w:type="dxa"/>
              <w:left w:w="62" w:type="dxa"/>
              <w:bottom w:w="0" w:type="dxa"/>
              <w:right w:w="62" w:type="dxa"/>
            </w:tcMar>
          </w:tcPr>
          <w:p w:rsidR="00000000" w:rsidP="00684B2B">
            <w:pPr>
              <w:pStyle w:val="BodyText"/>
              <w:rPr>
                <w:lang w:val="en-NZ"/>
              </w:rPr>
            </w:pPr>
            <w:r w:rsidRPr="00684B2B">
              <w:t>Items unacceptable for removal are identified and client or agent is informed</w:t>
            </w:r>
          </w:p>
        </w:tc>
      </w:tr>
      <w:tr w:rsidTr="00684B2B">
        <w:tblPrEx>
          <w:tblW w:w="9497" w:type="dxa"/>
          <w:tblLayout w:type="fixed"/>
          <w:tblCellMar>
            <w:left w:w="62" w:type="dxa"/>
            <w:right w:w="62" w:type="dxa"/>
          </w:tblCellMar>
          <w:tblLook w:val="0000"/>
        </w:tblPrEx>
        <w:tc>
          <w:tcPr>
            <w:tcW w:w="835" w:type="dxa"/>
            <w:tcBorders>
              <w:top w:val="nil"/>
              <w:left w:val="nil"/>
              <w:bottom w:val="nil"/>
              <w:right w:val="nil"/>
            </w:tcBorders>
            <w:tcMar>
              <w:top w:w="0" w:type="dxa"/>
              <w:left w:w="62" w:type="dxa"/>
              <w:bottom w:w="0" w:type="dxa"/>
              <w:right w:w="62" w:type="dxa"/>
            </w:tcMar>
          </w:tcPr>
          <w:p w:rsidR="00000000" w:rsidRPr="00684B2B" w:rsidP="00684B2B">
            <w:pPr>
              <w:pStyle w:val="BodyText"/>
            </w:pPr>
            <w:r w:rsidRPr="00684B2B">
              <w:rPr>
                <w:rStyle w:val="SpecialBold"/>
              </w:rPr>
              <w:t>2</w:t>
            </w:r>
          </w:p>
        </w:tc>
        <w:tc>
          <w:tcPr>
            <w:tcW w:w="2458" w:type="dxa"/>
            <w:tcBorders>
              <w:top w:val="nil"/>
              <w:left w:val="nil"/>
              <w:bottom w:val="nil"/>
              <w:right w:val="nil"/>
            </w:tcBorders>
            <w:tcMar>
              <w:top w:w="0" w:type="dxa"/>
              <w:left w:w="62" w:type="dxa"/>
              <w:bottom w:w="0" w:type="dxa"/>
              <w:right w:w="62" w:type="dxa"/>
            </w:tcMar>
          </w:tcPr>
          <w:p w:rsidR="00000000" w:rsidRPr="00684B2B" w:rsidP="00684B2B">
            <w:pPr>
              <w:pStyle w:val="BodyText"/>
            </w:pPr>
            <w:r w:rsidRPr="00684B2B">
              <w:rPr>
                <w:rStyle w:val="SpecialBold"/>
              </w:rPr>
              <w:t>Prepare for uplift process</w:t>
            </w:r>
          </w:p>
        </w:tc>
        <w:tc>
          <w:tcPr>
            <w:tcW w:w="1581" w:type="dxa"/>
            <w:tcBorders>
              <w:top w:val="nil"/>
              <w:left w:val="nil"/>
              <w:bottom w:val="nil"/>
              <w:right w:val="nil"/>
            </w:tcBorders>
            <w:tcMar>
              <w:top w:w="0" w:type="dxa"/>
              <w:left w:w="62" w:type="dxa"/>
              <w:bottom w:w="0" w:type="dxa"/>
              <w:right w:w="62" w:type="dxa"/>
            </w:tcMar>
          </w:tcPr>
          <w:p w:rsidR="00000000" w:rsidP="00684B2B">
            <w:pPr>
              <w:pStyle w:val="BodyText"/>
              <w:rPr>
                <w:lang w:val="en-NZ"/>
              </w:rPr>
            </w:pPr>
            <w:r w:rsidRPr="00684B2B">
              <w:rPr>
                <w:rStyle w:val="SpecialBold"/>
              </w:rPr>
              <w:t>2.1</w:t>
            </w:r>
          </w:p>
        </w:tc>
        <w:tc>
          <w:tcPr>
            <w:tcW w:w="4623" w:type="dxa"/>
            <w:tcBorders>
              <w:top w:val="nil"/>
              <w:left w:val="nil"/>
              <w:bottom w:val="nil"/>
              <w:right w:val="nil"/>
            </w:tcBorders>
            <w:tcMar>
              <w:top w:w="0" w:type="dxa"/>
              <w:left w:w="62" w:type="dxa"/>
              <w:bottom w:w="0" w:type="dxa"/>
              <w:right w:w="62" w:type="dxa"/>
            </w:tcMar>
          </w:tcPr>
          <w:p w:rsidR="00000000" w:rsidP="00684B2B">
            <w:pPr>
              <w:pStyle w:val="BodyText"/>
              <w:rPr>
                <w:lang w:val="en-NZ"/>
              </w:rPr>
            </w:pPr>
            <w:r w:rsidRPr="00684B2B">
              <w:t>Pre-packed items of furni</w:t>
            </w:r>
            <w:r w:rsidRPr="00684B2B">
              <w:t>ture and effects are prepared appropriately at premises to ensure orderly and efficient uplift</w:t>
            </w:r>
          </w:p>
        </w:tc>
      </w:tr>
      <w:tr w:rsidTr="00684B2B">
        <w:tblPrEx>
          <w:tblW w:w="9497" w:type="dxa"/>
          <w:tblLayout w:type="fixed"/>
          <w:tblCellMar>
            <w:left w:w="62" w:type="dxa"/>
            <w:right w:w="62" w:type="dxa"/>
          </w:tblCellMar>
          <w:tblLook w:val="0000"/>
        </w:tblPrEx>
        <w:tc>
          <w:tcPr>
            <w:tcW w:w="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58" w:type="dxa"/>
            <w:tcBorders>
              <w:top w:val="nil"/>
              <w:left w:val="nil"/>
              <w:bottom w:val="nil"/>
              <w:right w:val="nil"/>
            </w:tcBorders>
            <w:tcMar>
              <w:top w:w="0" w:type="dxa"/>
              <w:left w:w="62" w:type="dxa"/>
              <w:bottom w:w="0" w:type="dxa"/>
              <w:right w:w="62" w:type="dxa"/>
            </w:tcMar>
          </w:tcPr>
          <w:p w:rsidR="00000000" w:rsidRPr="00684B2B">
            <w:pPr>
              <w:pStyle w:val="BodyText"/>
              <w:keepLines w:val="0"/>
              <w:spacing w:before="0" w:after="0"/>
            </w:pPr>
          </w:p>
        </w:tc>
        <w:tc>
          <w:tcPr>
            <w:tcW w:w="1581" w:type="dxa"/>
            <w:tcBorders>
              <w:top w:val="nil"/>
              <w:left w:val="nil"/>
              <w:bottom w:val="nil"/>
              <w:right w:val="nil"/>
            </w:tcBorders>
            <w:tcMar>
              <w:top w:w="0" w:type="dxa"/>
              <w:left w:w="62" w:type="dxa"/>
              <w:bottom w:w="0" w:type="dxa"/>
              <w:right w:w="62" w:type="dxa"/>
            </w:tcMar>
          </w:tcPr>
          <w:p w:rsidR="00000000" w:rsidP="00684B2B">
            <w:pPr>
              <w:pStyle w:val="BodyText"/>
              <w:rPr>
                <w:lang w:val="en-NZ"/>
              </w:rPr>
            </w:pPr>
            <w:r w:rsidRPr="00684B2B">
              <w:rPr>
                <w:rStyle w:val="SpecialBold"/>
              </w:rPr>
              <w:t>2.2</w:t>
            </w:r>
          </w:p>
        </w:tc>
        <w:tc>
          <w:tcPr>
            <w:tcW w:w="4623" w:type="dxa"/>
            <w:tcBorders>
              <w:top w:val="nil"/>
              <w:left w:val="nil"/>
              <w:bottom w:val="nil"/>
              <w:right w:val="nil"/>
            </w:tcBorders>
            <w:tcMar>
              <w:top w:w="0" w:type="dxa"/>
              <w:left w:w="62" w:type="dxa"/>
              <w:bottom w:w="0" w:type="dxa"/>
              <w:right w:w="62" w:type="dxa"/>
            </w:tcMar>
          </w:tcPr>
          <w:p w:rsidR="00000000" w:rsidP="00684B2B">
            <w:pPr>
              <w:pStyle w:val="BodyText"/>
              <w:rPr>
                <w:lang w:val="en-NZ"/>
              </w:rPr>
            </w:pPr>
            <w:r w:rsidRPr="00684B2B">
              <w:t>Documentation is checked and completed accurately and promptly in accordance with workplace procedures</w:t>
            </w:r>
          </w:p>
        </w:tc>
      </w:tr>
      <w:tr w:rsidTr="00684B2B">
        <w:tblPrEx>
          <w:tblW w:w="9497" w:type="dxa"/>
          <w:tblLayout w:type="fixed"/>
          <w:tblCellMar>
            <w:left w:w="62" w:type="dxa"/>
            <w:right w:w="62" w:type="dxa"/>
          </w:tblCellMar>
          <w:tblLook w:val="0000"/>
        </w:tblPrEx>
        <w:tc>
          <w:tcPr>
            <w:tcW w:w="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58" w:type="dxa"/>
            <w:tcBorders>
              <w:top w:val="nil"/>
              <w:left w:val="nil"/>
              <w:bottom w:val="nil"/>
              <w:right w:val="nil"/>
            </w:tcBorders>
            <w:tcMar>
              <w:top w:w="0" w:type="dxa"/>
              <w:left w:w="62" w:type="dxa"/>
              <w:bottom w:w="0" w:type="dxa"/>
              <w:right w:w="62" w:type="dxa"/>
            </w:tcMar>
          </w:tcPr>
          <w:p w:rsidR="00000000" w:rsidRPr="00684B2B">
            <w:pPr>
              <w:pStyle w:val="BodyText"/>
              <w:keepLines w:val="0"/>
              <w:spacing w:before="0" w:after="0"/>
            </w:pPr>
          </w:p>
        </w:tc>
        <w:tc>
          <w:tcPr>
            <w:tcW w:w="1581" w:type="dxa"/>
            <w:tcBorders>
              <w:top w:val="nil"/>
              <w:left w:val="nil"/>
              <w:bottom w:val="nil"/>
              <w:right w:val="nil"/>
            </w:tcBorders>
            <w:tcMar>
              <w:top w:w="0" w:type="dxa"/>
              <w:left w:w="62" w:type="dxa"/>
              <w:bottom w:w="0" w:type="dxa"/>
              <w:right w:w="62" w:type="dxa"/>
            </w:tcMar>
          </w:tcPr>
          <w:p w:rsidR="00000000" w:rsidP="00684B2B">
            <w:pPr>
              <w:pStyle w:val="BodyText"/>
              <w:rPr>
                <w:lang w:val="en-NZ"/>
              </w:rPr>
            </w:pPr>
            <w:r w:rsidRPr="00684B2B">
              <w:rPr>
                <w:rStyle w:val="SpecialBold"/>
              </w:rPr>
              <w:t>2.3</w:t>
            </w:r>
          </w:p>
        </w:tc>
        <w:tc>
          <w:tcPr>
            <w:tcW w:w="4623" w:type="dxa"/>
            <w:tcBorders>
              <w:top w:val="nil"/>
              <w:left w:val="nil"/>
              <w:bottom w:val="nil"/>
              <w:right w:val="nil"/>
            </w:tcBorders>
            <w:tcMar>
              <w:top w:w="0" w:type="dxa"/>
              <w:left w:w="62" w:type="dxa"/>
              <w:bottom w:w="0" w:type="dxa"/>
              <w:right w:w="62" w:type="dxa"/>
            </w:tcMar>
          </w:tcPr>
          <w:p w:rsidR="00000000" w:rsidRPr="00684B2B" w:rsidP="00684B2B">
            <w:pPr>
              <w:pStyle w:val="BodyText"/>
            </w:pPr>
            <w:r w:rsidRPr="00684B2B">
              <w:t>Confirmed items are appropriately prepared for transportation in accordance with workplace procedures</w:t>
            </w:r>
          </w:p>
        </w:tc>
      </w:tr>
    </w:tbl>
    <w:p w:rsidR="00000000" w:rsidRPr="00684B2B" w:rsidP="00684B2B">
      <w:pPr>
        <w:pStyle w:val="NoPaddingFontSize1"/>
      </w:pPr>
    </w:p>
    <w:p w:rsidR="00000000" w:rsidRPr="00684B2B" w:rsidP="00684B2B">
      <w:pPr>
        <w:pStyle w:val="AllowPageBreak"/>
      </w:pPr>
    </w:p>
    <w:p w:rsidR="00000000" w:rsidRPr="00684B2B" w:rsidP="00684B2B">
      <w:pPr>
        <w:pStyle w:val="Heading1"/>
      </w:pPr>
      <w:bookmarkStart w:id="7" w:name="O_1299141"/>
      <w:bookmarkEnd w:id="7"/>
      <w:r w:rsidRPr="00684B2B">
        <w:t>Foundation Skills</w:t>
      </w:r>
    </w:p>
    <w:tbl>
      <w:tblPr>
        <w:tblW w:w="9497" w:type="dxa"/>
        <w:tblLayout w:type="fixed"/>
        <w:tblCellMar>
          <w:left w:w="62" w:type="dxa"/>
          <w:right w:w="62" w:type="dxa"/>
        </w:tblCellMar>
        <w:tblLook w:val="0000"/>
      </w:tblPr>
      <w:tblGrid>
        <w:gridCol w:w="9497"/>
      </w:tblGrid>
      <w:tr w:rsidTr="00684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4B2B" w:rsidP="00684B2B">
            <w:pPr>
              <w:pStyle w:val="BodyText"/>
            </w:pPr>
            <w:r w:rsidRPr="00684B2B">
              <w:t>Foundation skills essential to performance are explicit in the performance criteria of this unit of competency.</w:t>
            </w:r>
          </w:p>
        </w:tc>
      </w:tr>
    </w:tbl>
    <w:p w:rsidR="00000000" w:rsidRPr="00684B2B" w:rsidP="00684B2B">
      <w:pPr>
        <w:pStyle w:val="NoPaddingFontSize1"/>
      </w:pPr>
    </w:p>
    <w:p w:rsidR="00000000" w:rsidRPr="00684B2B" w:rsidP="00684B2B">
      <w:pPr>
        <w:pStyle w:val="AllowPageBreak"/>
      </w:pPr>
    </w:p>
    <w:p w:rsidR="00000000" w:rsidRPr="00684B2B" w:rsidP="00684B2B">
      <w:pPr>
        <w:pStyle w:val="Heading1"/>
      </w:pPr>
      <w:bookmarkStart w:id="8" w:name="O_1299142"/>
      <w:bookmarkEnd w:id="8"/>
      <w:r w:rsidRPr="00684B2B">
        <w:t>Range of Conditions</w:t>
      </w:r>
    </w:p>
    <w:tbl>
      <w:tblPr>
        <w:tblW w:w="9497" w:type="dxa"/>
        <w:tblLayout w:type="fixed"/>
        <w:tblCellMar>
          <w:left w:w="62" w:type="dxa"/>
          <w:right w:w="62" w:type="dxa"/>
        </w:tblCellMar>
        <w:tblLook w:val="0000"/>
      </w:tblPr>
      <w:tblGrid>
        <w:gridCol w:w="9497"/>
      </w:tblGrid>
      <w:tr w:rsidTr="00684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4B2B" w:rsidP="00684B2B">
            <w:pPr>
              <w:pStyle w:val="BodyText"/>
            </w:pPr>
            <w:r w:rsidRPr="00684B2B">
              <w:t>Range is restricted to essential operating conditions and any other variables essential to the work environment.</w:t>
            </w:r>
          </w:p>
          <w:p w:rsidR="00000000" w:rsidRPr="00684B2B" w:rsidP="00684B2B">
            <w:pPr>
              <w:pStyle w:val="BodyText"/>
            </w:pPr>
            <w:r w:rsidRPr="00684B2B">
              <w:t>Non-essential conditions can be found in the Companion Volume Implementation Guide.</w:t>
            </w:r>
          </w:p>
        </w:tc>
      </w:tr>
    </w:tbl>
    <w:p w:rsidR="00000000" w:rsidRPr="00684B2B" w:rsidP="00684B2B">
      <w:pPr>
        <w:pStyle w:val="NoPaddingFontSize1"/>
      </w:pPr>
    </w:p>
    <w:p w:rsidR="00000000" w:rsidRPr="00684B2B" w:rsidP="00684B2B">
      <w:pPr>
        <w:pStyle w:val="AllowPageBreak"/>
      </w:pPr>
    </w:p>
    <w:p w:rsidR="00000000" w:rsidRPr="00684B2B" w:rsidP="00684B2B">
      <w:pPr>
        <w:pStyle w:val="Heading1"/>
      </w:pPr>
      <w:bookmarkStart w:id="9" w:name="O_1299143"/>
      <w:bookmarkEnd w:id="9"/>
      <w:r w:rsidRPr="00684B2B">
        <w:t>Unit Mapping Information</w:t>
      </w:r>
    </w:p>
    <w:tbl>
      <w:tblPr>
        <w:tblW w:w="9497" w:type="dxa"/>
        <w:tblLayout w:type="fixed"/>
        <w:tblCellMar>
          <w:left w:w="62" w:type="dxa"/>
          <w:right w:w="62" w:type="dxa"/>
        </w:tblCellMar>
        <w:tblLook w:val="0000"/>
      </w:tblPr>
      <w:tblGrid>
        <w:gridCol w:w="9497"/>
      </w:tblGrid>
      <w:tr w:rsidTr="00684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4B2B" w:rsidP="00684B2B">
            <w:pPr>
              <w:pStyle w:val="BodyText"/>
            </w:pPr>
            <w:r w:rsidRPr="00684B2B">
              <w:t>This unit replaces and is equivalent to TLIE2032 Assess removal load.</w:t>
            </w:r>
          </w:p>
        </w:tc>
      </w:tr>
    </w:tbl>
    <w:p w:rsidR="00000000" w:rsidRPr="00684B2B" w:rsidP="00684B2B">
      <w:pPr>
        <w:pStyle w:val="NoPaddingFontSize1"/>
      </w:pPr>
    </w:p>
    <w:p w:rsidR="00000000" w:rsidRPr="00684B2B" w:rsidP="00684B2B">
      <w:pPr>
        <w:pStyle w:val="AllowPageBreak"/>
      </w:pPr>
    </w:p>
    <w:p w:rsidR="00000000" w:rsidRPr="00684B2B" w:rsidP="00684B2B">
      <w:pPr>
        <w:pStyle w:val="Heading1"/>
      </w:pPr>
      <w:bookmarkStart w:id="10" w:name="O_1299150"/>
      <w:bookmarkEnd w:id="10"/>
      <w:r w:rsidRPr="00684B2B">
        <w:t>Links</w:t>
      </w:r>
    </w:p>
    <w:p w:rsidR="00000000" w:rsidRPr="00684B2B" w:rsidP="00674CDC">
      <w:pPr>
        <w:pStyle w:val="BodyText"/>
      </w:pPr>
      <w:r w:rsidRPr="00684B2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86D8F">
        <w:rPr>
          <w:rStyle w:val="Hyperlink"/>
        </w:rPr>
        <w:t>https://vetnet.gov.au/Pages/TrainingDocs.aspx?q=df441c6e-213d-43e3-874c-0b3f7036d851</w:t>
      </w:r>
      <w:r>
        <w:fldChar w:fldCharType="end"/>
      </w:r>
    </w:p>
    <w:p w:rsidR="00000000" w:rsidRPr="00684B2B" w:rsidP="00674CDC">
      <w:pPr>
        <w:pStyle w:val="BodyText"/>
        <w:sectPr w:rsidSect="00684B2B">
          <w:headerReference w:type="default" r:id="rId10"/>
          <w:footerReference w:type="default" r:id="rId11"/>
          <w:pgSz w:w="11908" w:h="16833"/>
          <w:pgMar w:top="1702" w:right="1418" w:bottom="1702" w:left="1418" w:header="992" w:footer="992" w:gutter="0"/>
          <w:cols w:space="720"/>
          <w:noEndnote/>
          <w:docGrid w:linePitch="299"/>
        </w:sectPr>
      </w:pPr>
    </w:p>
    <w:p w:rsidR="00000000" w:rsidRPr="00684B2B" w:rsidP="00684B2B">
      <w:pPr>
        <w:pStyle w:val="SuperHeading"/>
      </w:pPr>
      <w:r w:rsidRPr="00684B2B">
        <w:t>Assessment Requirements for TLIE0011 Assess removal load</w:t>
      </w:r>
    </w:p>
    <w:p w:rsidR="00000000" w:rsidRPr="00684B2B" w:rsidP="00684B2B">
      <w:pPr>
        <w:pStyle w:val="Heading1"/>
      </w:pPr>
      <w:bookmarkStart w:id="11" w:name="O_1299145"/>
      <w:bookmarkEnd w:id="11"/>
      <w:r w:rsidRPr="00684B2B">
        <w:t>Modification History</w:t>
      </w:r>
    </w:p>
    <w:tbl>
      <w:tblPr>
        <w:tblW w:w="9497" w:type="dxa"/>
        <w:tblLayout w:type="fixed"/>
        <w:tblCellMar>
          <w:left w:w="62" w:type="dxa"/>
          <w:right w:w="62" w:type="dxa"/>
        </w:tblCellMar>
        <w:tblLook w:val="0000"/>
      </w:tblPr>
      <w:tblGrid>
        <w:gridCol w:w="9497"/>
      </w:tblGrid>
      <w:tr w:rsidTr="00684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4B2B" w:rsidP="00684B2B">
            <w:pPr>
              <w:pStyle w:val="BodyText"/>
            </w:pPr>
            <w:r w:rsidRPr="00684B2B">
              <w:rPr>
                <w:rStyle w:val="SpecialBold"/>
              </w:rPr>
              <w:t>Release 1.</w:t>
            </w:r>
            <w:r w:rsidRPr="00684B2B">
              <w:t xml:space="preserve"> This is the first release of this unit of competency in the TLI Transport and Logistics Tr</w:t>
            </w:r>
            <w:r w:rsidRPr="00684B2B">
              <w:t>aining Package.</w:t>
            </w:r>
          </w:p>
        </w:tc>
      </w:tr>
    </w:tbl>
    <w:p w:rsidR="00000000" w:rsidRPr="00684B2B" w:rsidP="00684B2B">
      <w:pPr>
        <w:pStyle w:val="NoPaddingFontSize1"/>
      </w:pPr>
    </w:p>
    <w:p w:rsidR="00000000" w:rsidRPr="00684B2B" w:rsidP="00684B2B">
      <w:pPr>
        <w:pStyle w:val="AllowPageBreak"/>
      </w:pPr>
    </w:p>
    <w:p w:rsidR="00000000" w:rsidRPr="00684B2B" w:rsidP="00684B2B">
      <w:pPr>
        <w:pStyle w:val="Heading1"/>
      </w:pPr>
      <w:bookmarkStart w:id="12" w:name="O_1299146"/>
      <w:bookmarkEnd w:id="12"/>
      <w:r w:rsidRPr="00684B2B">
        <w:t>Performance Evidence</w:t>
      </w:r>
    </w:p>
    <w:tbl>
      <w:tblPr>
        <w:tblW w:w="9497" w:type="dxa"/>
        <w:tblLayout w:type="fixed"/>
        <w:tblCellMar>
          <w:left w:w="62" w:type="dxa"/>
          <w:right w:w="62" w:type="dxa"/>
        </w:tblCellMar>
        <w:tblLook w:val="0000"/>
      </w:tblPr>
      <w:tblGrid>
        <w:gridCol w:w="9497"/>
      </w:tblGrid>
      <w:tr w:rsidTr="00684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4B2B">
            <w:pPr>
              <w:pStyle w:val="BodyText"/>
              <w:rPr>
                <w:lang w:val="en-NZ"/>
              </w:rPr>
            </w:pPr>
            <w:r w:rsidRPr="00684B2B">
              <w:t>Evidence required to demonstrate competence in this unit must be relevant to and satisfy all of the requirements of the elements and performance criteria on at least one occasion and include:</w:t>
            </w:r>
          </w:p>
        </w:tc>
      </w:tr>
      <w:tr w:rsidTr="00684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4B2B" w:rsidP="00684B2B">
            <w:pPr>
              <w:pStyle w:val="ListBullet"/>
            </w:pPr>
            <w:r w:rsidRPr="00684B2B">
              <w:t>adapting to differences in removal techniques in accordance with workplace procedures</w:t>
            </w:r>
          </w:p>
          <w:p w:rsidR="00000000" w:rsidRPr="00684B2B" w:rsidP="00684B2B">
            <w:pPr>
              <w:pStyle w:val="ListBullet"/>
            </w:pPr>
            <w:r w:rsidRPr="00684B2B">
              <w:t>applying relevant legislation and workplace procedures</w:t>
            </w:r>
          </w:p>
          <w:p w:rsidR="00000000" w:rsidRPr="00684B2B" w:rsidP="00684B2B">
            <w:pPr>
              <w:pStyle w:val="ListBullet"/>
            </w:pPr>
            <w:r w:rsidRPr="00684B2B">
              <w:t>checking size, volume, preparedness of load requirements against inventory and ensuring items are ready for uplift</w:t>
            </w:r>
          </w:p>
          <w:p w:rsidR="00000000" w:rsidRPr="00684B2B" w:rsidP="00684B2B">
            <w:pPr>
              <w:pStyle w:val="ListBullet"/>
            </w:pPr>
            <w:r w:rsidRPr="00684B2B">
              <w:t>communicating effectively with others using modes such as verbal or non-verbal, written and digital</w:t>
            </w:r>
          </w:p>
          <w:p w:rsidR="00000000" w:rsidRPr="00684B2B" w:rsidP="00684B2B">
            <w:pPr>
              <w:pStyle w:val="ListBullet"/>
            </w:pPr>
            <w:r w:rsidRPr="00684B2B">
              <w:t>completing and updating relevant documentation</w:t>
            </w:r>
          </w:p>
          <w:p w:rsidR="00000000" w:rsidRPr="00684B2B" w:rsidP="00684B2B">
            <w:pPr>
              <w:pStyle w:val="ListBullet"/>
            </w:pPr>
            <w:r w:rsidRPr="00684B2B">
              <w:t>modifying activities depending on operational contingencies, risk situations and environments</w:t>
            </w:r>
          </w:p>
          <w:p w:rsidR="00000000" w:rsidRPr="00684B2B" w:rsidP="00684B2B">
            <w:pPr>
              <w:pStyle w:val="ListBullet"/>
            </w:pPr>
            <w:r w:rsidRPr="00684B2B">
              <w:t xml:space="preserve">monitoring and </w:t>
            </w:r>
            <w:r w:rsidRPr="00684B2B">
              <w:t>prioritising work activities in terms of planned schedule</w:t>
            </w:r>
          </w:p>
          <w:p w:rsidR="00000000" w:rsidRPr="00684B2B" w:rsidP="00684B2B">
            <w:pPr>
              <w:pStyle w:val="ListBullet"/>
            </w:pPr>
            <w:r w:rsidRPr="00684B2B">
              <w:t>operating digital equipment in accordance with workplace procedures</w:t>
            </w:r>
          </w:p>
          <w:p w:rsidR="00000000" w:rsidRPr="00684B2B" w:rsidP="00684B2B">
            <w:pPr>
              <w:pStyle w:val="ListBullet"/>
            </w:pPr>
            <w:r w:rsidRPr="00684B2B">
              <w:t>reading, interpreting and following relevant instructions, procedures, information and signage</w:t>
            </w:r>
          </w:p>
          <w:p w:rsidR="00000000" w:rsidRPr="00684B2B" w:rsidP="00684B2B">
            <w:pPr>
              <w:pStyle w:val="ListBullet"/>
            </w:pPr>
            <w:r w:rsidRPr="00684B2B">
              <w:t>working systematically with require</w:t>
            </w:r>
            <w:r w:rsidRPr="00684B2B">
              <w:t>d attention to detail to avoid injury to self or others or damage to furniture or equipment.</w:t>
            </w:r>
          </w:p>
        </w:tc>
      </w:tr>
    </w:tbl>
    <w:p w:rsidR="00000000" w:rsidRPr="00684B2B" w:rsidP="00684B2B">
      <w:pPr>
        <w:pStyle w:val="NoPaddingFontSize1"/>
      </w:pPr>
    </w:p>
    <w:p w:rsidR="00000000" w:rsidRPr="00684B2B" w:rsidP="00684B2B">
      <w:pPr>
        <w:pStyle w:val="AllowPageBreak"/>
      </w:pPr>
    </w:p>
    <w:p w:rsidR="00000000" w:rsidRPr="00684B2B" w:rsidP="00684B2B">
      <w:pPr>
        <w:pStyle w:val="Heading1"/>
      </w:pPr>
      <w:bookmarkStart w:id="13" w:name="O_1299147"/>
      <w:bookmarkEnd w:id="13"/>
      <w:r w:rsidRPr="00684B2B">
        <w:t>Knowledge Evidence</w:t>
      </w:r>
    </w:p>
    <w:tbl>
      <w:tblPr>
        <w:tblW w:w="9497" w:type="dxa"/>
        <w:tblLayout w:type="fixed"/>
        <w:tblCellMar>
          <w:left w:w="62" w:type="dxa"/>
          <w:right w:w="62" w:type="dxa"/>
        </w:tblCellMar>
        <w:tblLook w:val="0000"/>
      </w:tblPr>
      <w:tblGrid>
        <w:gridCol w:w="9497"/>
      </w:tblGrid>
      <w:tr w:rsidTr="00684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4B2B">
            <w:pPr>
              <w:pStyle w:val="BodyText"/>
              <w:rPr>
                <w:lang w:val="en-NZ"/>
              </w:rPr>
            </w:pPr>
            <w:r w:rsidRPr="00684B2B">
              <w:t>Evidence required to demonstrate competence in this unit must be relevant to and sa</w:t>
            </w:r>
            <w:r w:rsidRPr="00684B2B">
              <w:t>tisfy all of the requirements of the elements and performance criteria and include knowledge of:</w:t>
            </w:r>
          </w:p>
        </w:tc>
      </w:tr>
      <w:tr w:rsidTr="00684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4B2B" w:rsidP="00684B2B">
            <w:pPr>
              <w:pStyle w:val="ListBullet"/>
            </w:pPr>
            <w:r w:rsidRPr="00684B2B">
              <w:t>client service requirements including appropriate language, courtesy, behaviour and problem solving</w:t>
            </w:r>
          </w:p>
          <w:p w:rsidR="00000000" w:rsidRPr="00684B2B" w:rsidP="00684B2B">
            <w:pPr>
              <w:pStyle w:val="ListBullet"/>
            </w:pPr>
            <w:r w:rsidRPr="00684B2B">
              <w:t>company work procedures</w:t>
            </w:r>
          </w:p>
          <w:p w:rsidR="00000000" w:rsidRPr="00684B2B" w:rsidP="00684B2B">
            <w:pPr>
              <w:pStyle w:val="ListBullet"/>
            </w:pPr>
            <w:r w:rsidRPr="00684B2B">
              <w:t xml:space="preserve">furniture removal procedures and </w:t>
            </w:r>
            <w:r w:rsidRPr="00684B2B">
              <w:t>codes of practice</w:t>
            </w:r>
          </w:p>
          <w:p w:rsidR="00000000" w:rsidRPr="00684B2B" w:rsidP="00684B2B">
            <w:pPr>
              <w:pStyle w:val="ListBullet"/>
            </w:pPr>
            <w:r w:rsidRPr="00684B2B">
              <w:t>hazards and related hazard control measures</w:t>
            </w:r>
          </w:p>
          <w:p w:rsidR="00000000" w:rsidRPr="00684B2B" w:rsidP="00684B2B">
            <w:pPr>
              <w:pStyle w:val="ListBullet"/>
            </w:pPr>
            <w:r w:rsidRPr="00684B2B">
              <w:t>items unsuitable for removal and reasons for this unsuitability</w:t>
            </w:r>
          </w:p>
          <w:p w:rsidR="00000000" w:rsidRPr="00684B2B" w:rsidP="00684B2B">
            <w:pPr>
              <w:pStyle w:val="ListBullet"/>
            </w:pPr>
            <w:r w:rsidRPr="00684B2B">
              <w:t>procedures for items requiring special requirements</w:t>
            </w:r>
          </w:p>
          <w:p w:rsidR="00000000" w:rsidRPr="00684B2B" w:rsidP="00684B2B">
            <w:pPr>
              <w:pStyle w:val="ListBullet"/>
            </w:pPr>
            <w:r w:rsidRPr="00684B2B">
              <w:t>records and signed agreements completed during a removal load assessment and r</w:t>
            </w:r>
            <w:r w:rsidRPr="00684B2B">
              <w:t>elated procedures</w:t>
            </w:r>
          </w:p>
          <w:p w:rsidR="00000000" w:rsidRPr="00684B2B" w:rsidP="00684B2B">
            <w:pPr>
              <w:pStyle w:val="ListBullet"/>
            </w:pPr>
            <w:r w:rsidRPr="00684B2B">
              <w:t>relevant agreements and legislation applicable to furniture removal</w:t>
            </w:r>
          </w:p>
          <w:p w:rsidR="00000000" w:rsidRPr="00684B2B" w:rsidP="00684B2B">
            <w:pPr>
              <w:pStyle w:val="ListBullet"/>
            </w:pPr>
            <w:r w:rsidRPr="00684B2B">
              <w:t>relevant state/territory procedures and codes:</w:t>
            </w:r>
          </w:p>
          <w:p w:rsidR="00000000" w:rsidRPr="00684B2B" w:rsidP="00684B2B">
            <w:pPr>
              <w:pStyle w:val="ListBullet2"/>
            </w:pPr>
            <w:r w:rsidRPr="00684B2B">
              <w:t>environmental protection legislation and regulations</w:t>
            </w:r>
          </w:p>
          <w:p w:rsidR="00000000" w:rsidRPr="00684B2B" w:rsidP="00684B2B">
            <w:pPr>
              <w:pStyle w:val="ListBullet2"/>
            </w:pPr>
            <w:r w:rsidRPr="00684B2B">
              <w:t>driver licence requirements</w:t>
            </w:r>
          </w:p>
          <w:p w:rsidR="00000000" w:rsidRPr="00684B2B" w:rsidP="00684B2B">
            <w:pPr>
              <w:pStyle w:val="ListBullet2"/>
            </w:pPr>
            <w:r w:rsidRPr="00684B2B">
              <w:t>traffic Act and related regulations</w:t>
            </w:r>
          </w:p>
          <w:p w:rsidR="00000000" w:rsidRPr="00684B2B" w:rsidP="00684B2B">
            <w:pPr>
              <w:pStyle w:val="ListBullet2"/>
            </w:pPr>
            <w:r w:rsidRPr="00684B2B">
              <w:t>work health and safety (WHS)/occupational health and safety (OHS) legislation and regulations</w:t>
            </w:r>
          </w:p>
          <w:p w:rsidR="00000000" w:rsidRPr="00684B2B" w:rsidP="00684B2B">
            <w:pPr>
              <w:pStyle w:val="ListBullet"/>
            </w:pPr>
            <w:r w:rsidRPr="00684B2B">
              <w:t>uplift requirements.</w:t>
            </w:r>
          </w:p>
        </w:tc>
      </w:tr>
    </w:tbl>
    <w:p w:rsidR="00000000" w:rsidRPr="00684B2B" w:rsidP="00684B2B">
      <w:pPr>
        <w:pStyle w:val="NoPaddingFontSize1"/>
      </w:pPr>
    </w:p>
    <w:p w:rsidR="00000000" w:rsidRPr="00684B2B" w:rsidP="00684B2B">
      <w:pPr>
        <w:pStyle w:val="AllowPageBreak"/>
      </w:pPr>
    </w:p>
    <w:p w:rsidR="00000000" w:rsidRPr="00684B2B" w:rsidP="00684B2B">
      <w:pPr>
        <w:pStyle w:val="Heading1"/>
      </w:pPr>
      <w:bookmarkStart w:id="14" w:name="O_1299148"/>
      <w:bookmarkEnd w:id="14"/>
      <w:r w:rsidRPr="00684B2B">
        <w:t>Assessment Conditions</w:t>
      </w:r>
    </w:p>
    <w:tbl>
      <w:tblPr>
        <w:tblW w:w="9497" w:type="dxa"/>
        <w:tblLayout w:type="fixed"/>
        <w:tblCellMar>
          <w:left w:w="62" w:type="dxa"/>
          <w:right w:w="62" w:type="dxa"/>
        </w:tblCellMar>
        <w:tblLook w:val="0000"/>
      </w:tblPr>
      <w:tblGrid>
        <w:gridCol w:w="9497"/>
      </w:tblGrid>
      <w:tr w:rsidTr="00684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4B2B" w:rsidP="00684B2B">
            <w:pPr>
              <w:pStyle w:val="BodyText"/>
            </w:pPr>
            <w:r w:rsidRPr="00684B2B">
              <w:t>Assessors must hold credentials specified within the Standards for Registered Training Organisations current at the time of assessment.</w:t>
            </w:r>
          </w:p>
          <w:p w:rsidR="00000000" w:rsidRPr="00684B2B" w:rsidP="00684B2B">
            <w:pPr>
              <w:pStyle w:val="BodyText"/>
            </w:pPr>
            <w:r w:rsidRPr="00684B2B">
              <w:t>Assessment must satisfy the Principles of Assessment and Rules of Evidence and all regulatory requirements included with</w:t>
            </w:r>
            <w:r w:rsidRPr="00684B2B">
              <w:t>in the Standards for Registered Training Organisations current at the time of assessment.</w:t>
            </w:r>
          </w:p>
          <w:p w:rsidR="00000000" w:rsidRPr="00684B2B" w:rsidP="00684B2B">
            <w:pPr>
              <w:pStyle w:val="BodyText"/>
            </w:pPr>
            <w:r w:rsidRPr="00684B2B">
              <w:t>Assessment must occur in workplace operational situations where it is appropriate to do so; where this is not appropriate, assessment must occur in simulated workplac</w:t>
            </w:r>
            <w:r w:rsidRPr="00684B2B">
              <w:t>e operational situations that replicate workplace conditions.</w:t>
            </w:r>
          </w:p>
          <w:p w:rsidR="00000000" w:rsidRPr="00684B2B" w:rsidP="00684B2B">
            <w:pPr>
              <w:pStyle w:val="BodyText"/>
            </w:pPr>
            <w:r w:rsidRPr="00684B2B">
              <w:t>Assessment processes and techniques must be appropriate to the language, literacy and numeracy requirements of the work being performed and the needs of the candidate.</w:t>
            </w:r>
          </w:p>
          <w:p w:rsidR="00000000" w:rsidRPr="00684B2B" w:rsidP="00684B2B">
            <w:pPr>
              <w:pStyle w:val="BodyText"/>
            </w:pPr>
            <w:r w:rsidRPr="00684B2B">
              <w:t>Resources for assessment m</w:t>
            </w:r>
            <w:r w:rsidRPr="00684B2B">
              <w:t>ust include access to:</w:t>
            </w:r>
          </w:p>
          <w:p w:rsidR="00000000" w:rsidRPr="00684B2B" w:rsidP="00684B2B">
            <w:pPr>
              <w:pStyle w:val="ListBullet"/>
            </w:pPr>
            <w:r w:rsidRPr="00684B2B">
              <w:t>a range of relevant exercises, case studies and/or simulations</w:t>
            </w:r>
          </w:p>
          <w:p w:rsidR="00000000" w:rsidRPr="00684B2B" w:rsidP="00684B2B">
            <w:pPr>
              <w:pStyle w:val="ListBullet"/>
            </w:pPr>
            <w:r w:rsidRPr="00684B2B">
              <w:t>applicable documentation, including workplace procedures, regulations, codes of practice and operation manuals</w:t>
            </w:r>
          </w:p>
          <w:p w:rsidR="00000000" w:rsidRPr="00684B2B" w:rsidP="00684B2B">
            <w:pPr>
              <w:pStyle w:val="ListBullet"/>
            </w:pPr>
            <w:r w:rsidRPr="00684B2B">
              <w:t>relevant materials, tools, equipment and PPE currently use</w:t>
            </w:r>
            <w:r w:rsidRPr="00684B2B">
              <w:t>d in industry.</w:t>
            </w:r>
          </w:p>
        </w:tc>
      </w:tr>
    </w:tbl>
    <w:p w:rsidR="00000000" w:rsidRPr="00684B2B" w:rsidP="00684B2B">
      <w:pPr>
        <w:pStyle w:val="NoPaddingFontSize1"/>
      </w:pPr>
    </w:p>
    <w:p w:rsidR="00000000" w:rsidRPr="00684B2B" w:rsidP="00684B2B">
      <w:pPr>
        <w:pStyle w:val="AllowPageBreak"/>
      </w:pPr>
    </w:p>
    <w:p w:rsidR="00000000" w:rsidRPr="00684B2B" w:rsidP="00684B2B">
      <w:pPr>
        <w:pStyle w:val="Heading1"/>
      </w:pPr>
      <w:bookmarkStart w:id="15" w:name="O_1299151"/>
      <w:bookmarkEnd w:id="15"/>
      <w:r w:rsidRPr="00684B2B">
        <w:t>Links</w:t>
      </w:r>
    </w:p>
    <w:p w:rsidR="00000000" w:rsidRPr="00684B2B" w:rsidP="00674CDC">
      <w:pPr>
        <w:pStyle w:val="BodyText"/>
      </w:pPr>
      <w:r w:rsidRPr="00684B2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86D8F">
        <w:rPr>
          <w:rStyle w:val="Hyperlink"/>
        </w:rPr>
        <w:t>https://vetnet.gov.au/Pages/TrainingDocs.aspx?q=df441c6e-213d-43e3-874c-0b3f7036d851</w:t>
      </w:r>
      <w:r>
        <w:fldChar w:fldCharType="end"/>
      </w:r>
    </w:p>
    <w:p w:rsidR="00000000" w:rsidRPr="00684B2B" w:rsidP="00684B2B"/>
    <w:sectPr w:rsidSect="00684B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B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B2B" w:rsidRPr="00674CDC" w:rsidP="00674C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B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CDC" w:rsidP="00684B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4CDC" w:rsidP="00684B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74CDC" w:rsidP="00684B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B2B" w:rsidP="00684B2B">
    <w:pPr>
      <w:pStyle w:val="Footer"/>
      <w:framePr w:wrap="around"/>
    </w:pPr>
    <w:r>
      <w:fldChar w:fldCharType="begin"/>
    </w:r>
    <w:r>
      <w:instrText xml:space="preserve"> DOCPROPERTY  Subject  \* MERGEFORMAT </w:instrText>
    </w:r>
    <w:r>
      <w:fldChar w:fldCharType="separate"/>
    </w:r>
    <w:r w:rsidR="00674CDC">
      <w:t>Approved</w:t>
    </w:r>
    <w:r w:rsidR="00674CDC">
      <w:fldChar w:fldCharType="end"/>
    </w:r>
    <w:r>
      <w:tab/>
      <w:t xml:space="preserve">Page </w:t>
    </w:r>
    <w:r>
      <w:fldChar w:fldCharType="begin"/>
    </w:r>
    <w:r>
      <w:instrText xml:space="preserve"> PAGE  \* Arabic  \* MERGEFORMAT </w:instrText>
    </w:r>
    <w:r>
      <w:fldChar w:fldCharType="separate"/>
    </w:r>
    <w:r w:rsidR="00674CD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4CDC">
      <w:rPr>
        <w:noProof/>
      </w:rPr>
      <w:t>4</w:t>
    </w:r>
    <w:r>
      <w:rPr>
        <w:noProof/>
      </w:rPr>
      <w:fldChar w:fldCharType="end"/>
    </w:r>
  </w:p>
  <w:p w:rsidR="00684B2B" w:rsidP="00684B2B">
    <w:pPr>
      <w:pStyle w:val="Footer"/>
      <w:framePr w:wrap="around"/>
    </w:pPr>
    <w:r>
      <w:t xml:space="preserve">© Commonwealth of Australia, </w:t>
    </w:r>
    <w:r>
      <w:fldChar w:fldCharType="begin"/>
    </w:r>
    <w:r>
      <w:instrText xml:space="preserve"> DATE  \@ "yyyy"  \* MERGEFORMAT </w:instrText>
    </w:r>
    <w:r>
      <w:fldChar w:fldCharType="separate"/>
    </w:r>
    <w:r w:rsidR="00674CDC">
      <w:rPr>
        <w:noProof/>
      </w:rPr>
      <w:t>2025</w:t>
    </w:r>
    <w:r>
      <w:fldChar w:fldCharType="end"/>
    </w:r>
    <w:r>
      <w:tab/>
    </w:r>
    <w:r>
      <w:fldChar w:fldCharType="begin"/>
    </w:r>
    <w:r>
      <w:instrText xml:space="preserve"> DOCPROPERTY  Author  \* MERGEFORMAT </w:instrText>
    </w:r>
    <w:r>
      <w:fldChar w:fldCharType="separate"/>
    </w:r>
    <w:r w:rsidR="00674CDC">
      <w:t>Industry Skills Australia</w:t>
    </w:r>
    <w:r w:rsidR="00674CDC">
      <w:fldChar w:fldCharType="end"/>
    </w:r>
  </w:p>
  <w:p w:rsidR="00684B2B" w:rsidP="00684B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B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C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4B2B" w:rsidRPr="00674CDC" w:rsidP="00674C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B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CDC" w:rsidRPr="002D2AF8" w:rsidP="00684B2B">
    <w:pPr>
      <w:pStyle w:val="Header"/>
      <w:framePr w:wrap="around"/>
    </w:pPr>
    <w:r>
      <w:fldChar w:fldCharType="begin"/>
    </w:r>
    <w:r>
      <w:instrText xml:space="preserve"> TITLE   \* MERGEFORMAT </w:instrText>
    </w:r>
    <w:r>
      <w:fldChar w:fldCharType="separate"/>
    </w:r>
    <w:r>
      <w:t>TLIE0011 Assess removal 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2025</w:t>
    </w:r>
    <w:r>
      <w:fldChar w:fldCharType="end"/>
    </w:r>
  </w:p>
  <w:p w:rsidR="00674CDC" w:rsidP="00684B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B2B" w:rsidRPr="002D2AF8" w:rsidP="00684B2B">
    <w:pPr>
      <w:pStyle w:val="Header"/>
      <w:framePr w:wrap="around"/>
    </w:pPr>
    <w:r>
      <w:fldChar w:fldCharType="begin"/>
    </w:r>
    <w:r>
      <w:instrText xml:space="preserve"> TITLE   \* MERGEFORMAT </w:instrText>
    </w:r>
    <w:r>
      <w:fldChar w:fldCharType="separate"/>
    </w:r>
    <w:r w:rsidR="00674CDC">
      <w:t>TLIE0011 Assess removal load</w:t>
    </w:r>
    <w:r w:rsidR="00674CDC">
      <w:fldChar w:fldCharType="end"/>
    </w:r>
    <w:r>
      <w:tab/>
      <w:t xml:space="preserve">Date this document was generated: </w:t>
    </w:r>
    <w:r>
      <w:fldChar w:fldCharType="begin"/>
    </w:r>
    <w:r>
      <w:instrText xml:space="preserve"> CREATEDATE  \@ "d MMMM yyyy"  \* MERGEFORMAT </w:instrText>
    </w:r>
    <w:r>
      <w:fldChar w:fldCharType="separate"/>
    </w:r>
    <w:r w:rsidR="00674CDC">
      <w:rPr>
        <w:noProof/>
      </w:rPr>
      <w:t>29 May 2025</w:t>
    </w:r>
    <w:r>
      <w:fldChar w:fldCharType="end"/>
    </w:r>
  </w:p>
  <w:p w:rsidR="00684B2B" w:rsidP="00684B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22E3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F898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2CA9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B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4B2B"/>
    <w:pPr>
      <w:spacing w:before="360" w:after="60"/>
      <w:outlineLvl w:val="0"/>
    </w:pPr>
    <w:rPr>
      <w:sz w:val="32"/>
    </w:rPr>
  </w:style>
  <w:style w:type="paragraph" w:styleId="Heading2">
    <w:name w:val="heading 2"/>
    <w:basedOn w:val="HeadingBase"/>
    <w:next w:val="BodyText"/>
    <w:link w:val="Heading2Char"/>
    <w:qFormat/>
    <w:rsid w:val="00684B2B"/>
    <w:pPr>
      <w:keepLines/>
      <w:spacing w:before="240" w:after="120"/>
      <w:outlineLvl w:val="1"/>
    </w:pPr>
    <w:rPr>
      <w:sz w:val="28"/>
      <w:szCs w:val="40"/>
    </w:rPr>
  </w:style>
  <w:style w:type="paragraph" w:styleId="Heading3">
    <w:name w:val="heading 3"/>
    <w:basedOn w:val="HeadingBase"/>
    <w:next w:val="BodyText"/>
    <w:link w:val="Heading3Char"/>
    <w:qFormat/>
    <w:rsid w:val="00684B2B"/>
    <w:pPr>
      <w:spacing w:before="180" w:after="120"/>
      <w:outlineLvl w:val="2"/>
    </w:pPr>
    <w:rPr>
      <w:spacing w:val="-10"/>
      <w:kern w:val="32"/>
    </w:rPr>
  </w:style>
  <w:style w:type="paragraph" w:styleId="Heading4">
    <w:name w:val="heading 4"/>
    <w:basedOn w:val="HeadingBase"/>
    <w:next w:val="BodyText"/>
    <w:link w:val="Heading4Char"/>
    <w:qFormat/>
    <w:rsid w:val="00684B2B"/>
    <w:pPr>
      <w:spacing w:before="160" w:after="120"/>
      <w:outlineLvl w:val="3"/>
    </w:pPr>
    <w:rPr>
      <w:sz w:val="22"/>
    </w:rPr>
  </w:style>
  <w:style w:type="paragraph" w:styleId="Heading5">
    <w:name w:val="heading 5"/>
    <w:basedOn w:val="HeadingBase"/>
    <w:next w:val="Normal"/>
    <w:link w:val="Heading5Char"/>
    <w:qFormat/>
    <w:rsid w:val="00684B2B"/>
    <w:pPr>
      <w:spacing w:before="80"/>
      <w:outlineLvl w:val="4"/>
    </w:pPr>
    <w:rPr>
      <w:color w:val="918585"/>
      <w:sz w:val="20"/>
    </w:rPr>
  </w:style>
  <w:style w:type="paragraph" w:styleId="Heading6">
    <w:name w:val="heading 6"/>
    <w:basedOn w:val="HeadingBase"/>
    <w:next w:val="Normal"/>
    <w:link w:val="Heading6Char"/>
    <w:qFormat/>
    <w:rsid w:val="00684B2B"/>
    <w:pPr>
      <w:spacing w:before="60"/>
      <w:outlineLvl w:val="5"/>
    </w:pPr>
    <w:rPr>
      <w:color w:val="918585"/>
      <w:sz w:val="20"/>
    </w:rPr>
  </w:style>
  <w:style w:type="paragraph" w:styleId="Heading7">
    <w:name w:val="heading 7"/>
    <w:basedOn w:val="Normal"/>
    <w:next w:val="Normal"/>
    <w:link w:val="Heading7Char"/>
    <w:qFormat/>
    <w:rsid w:val="00684B2B"/>
    <w:pPr>
      <w:ind w:left="720"/>
      <w:outlineLvl w:val="6"/>
    </w:pPr>
    <w:rPr>
      <w:i/>
    </w:rPr>
  </w:style>
  <w:style w:type="paragraph" w:styleId="Heading8">
    <w:name w:val="heading 8"/>
    <w:basedOn w:val="Normal"/>
    <w:next w:val="Normal"/>
    <w:link w:val="Heading8Char"/>
    <w:qFormat/>
    <w:rsid w:val="00684B2B"/>
    <w:pPr>
      <w:ind w:left="720"/>
      <w:outlineLvl w:val="7"/>
    </w:pPr>
    <w:rPr>
      <w:i/>
    </w:rPr>
  </w:style>
  <w:style w:type="paragraph" w:styleId="Heading9">
    <w:name w:val="heading 9"/>
    <w:basedOn w:val="Normal"/>
    <w:next w:val="Normal"/>
    <w:link w:val="Heading9Char"/>
    <w:qFormat/>
    <w:rsid w:val="00684B2B"/>
    <w:pPr>
      <w:ind w:left="720"/>
      <w:outlineLvl w:val="8"/>
    </w:pPr>
    <w:rPr>
      <w:i/>
    </w:rPr>
  </w:style>
  <w:style w:type="character" w:default="1" w:styleId="DefaultParagraphFont">
    <w:name w:val="Default Paragraph Font"/>
    <w:uiPriority w:val="1"/>
    <w:unhideWhenUsed/>
    <w:rsid w:val="00684B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4B2B"/>
  </w:style>
  <w:style w:type="character" w:customStyle="1" w:styleId="Heading1Char">
    <w:name w:val="Heading 1 Char"/>
    <w:basedOn w:val="DefaultParagraphFont"/>
    <w:link w:val="Heading1"/>
    <w:rsid w:val="00684B2B"/>
    <w:rPr>
      <w:rFonts w:ascii="Times New Roman" w:eastAsia="Times New Roman" w:hAnsi="Times New Roman" w:cs="Times New Roman"/>
      <w:b/>
      <w:sz w:val="32"/>
      <w:szCs w:val="20"/>
      <w:lang w:eastAsia="en-US"/>
    </w:rPr>
  </w:style>
  <w:style w:type="paragraph" w:styleId="BodyText">
    <w:name w:val="Body Text"/>
    <w:basedOn w:val="Normal"/>
    <w:link w:val="BodyTextChar"/>
    <w:rsid w:val="00684B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4B2B"/>
    <w:rPr>
      <w:rFonts w:ascii="Times New Roman" w:eastAsia="Times New Roman" w:hAnsi="Times New Roman" w:cs="Times New Roman"/>
      <w:sz w:val="24"/>
      <w:lang w:eastAsia="en-US"/>
    </w:rPr>
  </w:style>
  <w:style w:type="paragraph" w:styleId="ListBullet">
    <w:name w:val="List Bullet"/>
    <w:basedOn w:val="List"/>
    <w:rsid w:val="00684B2B"/>
    <w:pPr>
      <w:numPr>
        <w:numId w:val="12"/>
      </w:numPr>
      <w:tabs>
        <w:tab w:val="clear" w:pos="340"/>
      </w:tabs>
      <w:spacing w:before="40" w:after="40"/>
    </w:pPr>
  </w:style>
  <w:style w:type="character" w:customStyle="1" w:styleId="SpecialBold">
    <w:name w:val="Special Bold"/>
    <w:basedOn w:val="DefaultParagraphFont"/>
    <w:rsid w:val="00684B2B"/>
    <w:rPr>
      <w:b/>
      <w:spacing w:val="0"/>
    </w:rPr>
  </w:style>
  <w:style w:type="paragraph" w:styleId="ListBullet2">
    <w:name w:val="List Bullet 2"/>
    <w:basedOn w:val="List2"/>
    <w:rsid w:val="00684B2B"/>
    <w:pPr>
      <w:numPr>
        <w:numId w:val="13"/>
      </w:numPr>
      <w:tabs>
        <w:tab w:val="clear" w:pos="680"/>
      </w:tabs>
    </w:pPr>
  </w:style>
  <w:style w:type="paragraph" w:customStyle="1" w:styleId="SuperHeading">
    <w:name w:val="SuperHeading"/>
    <w:basedOn w:val="Normal"/>
    <w:rsid w:val="00684B2B"/>
    <w:pPr>
      <w:spacing w:before="240" w:after="120"/>
      <w:outlineLvl w:val="0"/>
    </w:pPr>
    <w:rPr>
      <w:rFonts w:ascii="Times New Roman" w:hAnsi="Times New Roman"/>
      <w:b/>
      <w:sz w:val="32"/>
    </w:rPr>
  </w:style>
  <w:style w:type="paragraph" w:customStyle="1" w:styleId="AllowPageBreak">
    <w:name w:val="AllowPageBreak"/>
    <w:rsid w:val="00684B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4B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4B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4B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4B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4B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4B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4B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4B2B"/>
    <w:rPr>
      <w:rFonts w:ascii="Courier New" w:eastAsia="Times New Roman" w:hAnsi="Courier New" w:cs="Times New Roman"/>
      <w:i/>
      <w:szCs w:val="20"/>
      <w:lang w:eastAsia="en-US"/>
    </w:rPr>
  </w:style>
  <w:style w:type="paragraph" w:customStyle="1" w:styleId="HeadingBase">
    <w:name w:val="Heading Base"/>
    <w:rsid w:val="00684B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4B2B"/>
    <w:pPr>
      <w:tabs>
        <w:tab w:val="right" w:leader="dot" w:pos="9072"/>
      </w:tabs>
      <w:ind w:left="567"/>
    </w:pPr>
    <w:rPr>
      <w:szCs w:val="22"/>
    </w:rPr>
  </w:style>
  <w:style w:type="paragraph" w:customStyle="1" w:styleId="TOCBase">
    <w:name w:val="TOC Base"/>
    <w:rsid w:val="00684B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4B2B"/>
    <w:pPr>
      <w:tabs>
        <w:tab w:val="right" w:leader="dot" w:pos="9072"/>
      </w:tabs>
      <w:spacing w:before="40" w:after="40"/>
      <w:ind w:left="284"/>
    </w:pPr>
    <w:rPr>
      <w:rFonts w:ascii="Times New Roman" w:hAnsi="Times New Roman"/>
    </w:rPr>
  </w:style>
  <w:style w:type="paragraph" w:styleId="TOC1">
    <w:name w:val="toc 1"/>
    <w:basedOn w:val="TOCBase"/>
    <w:next w:val="Normal"/>
    <w:rsid w:val="00684B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4B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4B2B"/>
    <w:rPr>
      <w:rFonts w:ascii="Times New Roman" w:eastAsia="Times New Roman" w:hAnsi="Times New Roman" w:cs="Times New Roman"/>
      <w:sz w:val="16"/>
      <w:lang w:eastAsia="en-US"/>
    </w:rPr>
  </w:style>
  <w:style w:type="paragraph" w:styleId="Title">
    <w:name w:val="Title"/>
    <w:basedOn w:val="HeadingBase"/>
    <w:link w:val="TitleChar"/>
    <w:qFormat/>
    <w:rsid w:val="00684B2B"/>
    <w:pPr>
      <w:spacing w:before="5040"/>
      <w:jc w:val="center"/>
    </w:pPr>
    <w:rPr>
      <w:sz w:val="48"/>
      <w:szCs w:val="72"/>
      <w:lang w:val="en-US"/>
    </w:rPr>
  </w:style>
  <w:style w:type="character" w:customStyle="1" w:styleId="TitleChar">
    <w:name w:val="Title Char"/>
    <w:basedOn w:val="DefaultParagraphFont"/>
    <w:link w:val="Title"/>
    <w:rsid w:val="00684B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4B2B"/>
    <w:pPr>
      <w:tabs>
        <w:tab w:val="left" w:pos="3600"/>
        <w:tab w:val="left" w:pos="3958"/>
      </w:tabs>
    </w:pPr>
  </w:style>
  <w:style w:type="paragraph" w:styleId="List">
    <w:name w:val="List"/>
    <w:basedOn w:val="BodyText"/>
    <w:next w:val="BodyText"/>
    <w:rsid w:val="00684B2B"/>
    <w:pPr>
      <w:tabs>
        <w:tab w:val="left" w:pos="340"/>
      </w:tabs>
      <w:spacing w:before="60" w:after="60"/>
      <w:ind w:left="340" w:hanging="340"/>
    </w:pPr>
  </w:style>
  <w:style w:type="paragraph" w:customStyle="1" w:styleId="Note">
    <w:name w:val="Note"/>
    <w:basedOn w:val="BodyText"/>
    <w:rsid w:val="00684B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4B2B"/>
    <w:pPr>
      <w:framePr w:wrap="auto" w:hAnchor="text" w:y="6049"/>
    </w:pPr>
    <w:rPr>
      <w:color w:val="000000"/>
      <w:sz w:val="40"/>
    </w:rPr>
  </w:style>
  <w:style w:type="paragraph" w:customStyle="1" w:styleId="TOCTitle">
    <w:name w:val="TOCTitle"/>
    <w:basedOn w:val="Heading1"/>
    <w:rsid w:val="00684B2B"/>
    <w:pPr>
      <w:spacing w:after="240"/>
      <w:jc w:val="center"/>
      <w:outlineLvl w:val="9"/>
    </w:pPr>
    <w:rPr>
      <w:caps/>
    </w:rPr>
  </w:style>
  <w:style w:type="paragraph" w:customStyle="1" w:styleId="Version">
    <w:name w:val="Version"/>
    <w:rsid w:val="00684B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4B2B"/>
    <w:pPr>
      <w:keepNext w:val="0"/>
      <w:tabs>
        <w:tab w:val="right" w:pos="4176"/>
      </w:tabs>
      <w:ind w:left="198" w:hanging="198"/>
    </w:pPr>
    <w:rPr>
      <w:rFonts w:ascii="Garamond" w:hAnsi="Garamond"/>
    </w:rPr>
  </w:style>
  <w:style w:type="paragraph" w:styleId="IndexHeading">
    <w:name w:val="index heading"/>
    <w:basedOn w:val="Normal"/>
    <w:next w:val="Index1"/>
    <w:semiHidden/>
    <w:rsid w:val="00684B2B"/>
    <w:pPr>
      <w:spacing w:before="120" w:after="120"/>
    </w:pPr>
    <w:rPr>
      <w:rFonts w:ascii="Arial" w:hAnsi="Arial"/>
      <w:b/>
      <w:color w:val="918585"/>
      <w:sz w:val="24"/>
    </w:rPr>
  </w:style>
  <w:style w:type="paragraph" w:styleId="Header">
    <w:name w:val="header"/>
    <w:basedOn w:val="Normal"/>
    <w:link w:val="HeaderChar"/>
    <w:rsid w:val="00684B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4B2B"/>
    <w:rPr>
      <w:rFonts w:ascii="Times New Roman" w:eastAsia="Times New Roman" w:hAnsi="Times New Roman" w:cs="Times New Roman"/>
      <w:sz w:val="16"/>
      <w:szCs w:val="20"/>
      <w:lang w:val="en-GB" w:eastAsia="en-US"/>
    </w:rPr>
  </w:style>
  <w:style w:type="paragraph" w:customStyle="1" w:styleId="Chapter">
    <w:name w:val="Chapter"/>
    <w:basedOn w:val="Normal"/>
    <w:rsid w:val="00684B2B"/>
    <w:pPr>
      <w:spacing w:before="240"/>
    </w:pPr>
    <w:rPr>
      <w:rFonts w:ascii="Times New Roman" w:hAnsi="Times New Roman"/>
      <w:smallCaps/>
      <w:spacing w:val="80"/>
      <w:sz w:val="28"/>
    </w:rPr>
  </w:style>
  <w:style w:type="paragraph" w:customStyle="1" w:styleId="InChapter">
    <w:name w:val="InChapter"/>
    <w:basedOn w:val="Heading3"/>
    <w:rsid w:val="00684B2B"/>
    <w:pPr>
      <w:spacing w:after="240"/>
      <w:outlineLvl w:val="9"/>
    </w:pPr>
    <w:rPr>
      <w:noProof/>
    </w:rPr>
  </w:style>
  <w:style w:type="paragraph" w:styleId="Index2">
    <w:name w:val="index 2"/>
    <w:basedOn w:val="Normal"/>
    <w:next w:val="Normal"/>
    <w:semiHidden/>
    <w:rsid w:val="00684B2B"/>
    <w:pPr>
      <w:tabs>
        <w:tab w:val="right" w:pos="4176"/>
      </w:tabs>
      <w:ind w:left="568" w:hanging="284"/>
    </w:pPr>
    <w:rPr>
      <w:rFonts w:ascii="Garamond" w:hAnsi="Garamond"/>
    </w:rPr>
  </w:style>
  <w:style w:type="paragraph" w:customStyle="1" w:styleId="Byline">
    <w:name w:val="Byline"/>
    <w:rsid w:val="00684B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4B2B"/>
    <w:pPr>
      <w:tabs>
        <w:tab w:val="clear" w:pos="3600"/>
        <w:tab w:val="clear" w:pos="3958"/>
      </w:tabs>
      <w:jc w:val="right"/>
    </w:pPr>
  </w:style>
  <w:style w:type="character" w:styleId="Emphasis">
    <w:name w:val="Emphasis"/>
    <w:basedOn w:val="DefaultParagraphFont"/>
    <w:qFormat/>
    <w:rsid w:val="00684B2B"/>
    <w:rPr>
      <w:i/>
    </w:rPr>
  </w:style>
  <w:style w:type="paragraph" w:styleId="Caption">
    <w:name w:val="caption"/>
    <w:basedOn w:val="BodyText"/>
    <w:next w:val="Normal"/>
    <w:qFormat/>
    <w:rsid w:val="00684B2B"/>
    <w:pPr>
      <w:framePr w:w="2268" w:hSpace="181" w:vSpace="181" w:wrap="around" w:vAnchor="text" w:hAnchor="page" w:x="1135" w:y="285" w:anchorLock="1"/>
    </w:pPr>
    <w:rPr>
      <w:i/>
    </w:rPr>
  </w:style>
  <w:style w:type="paragraph" w:customStyle="1" w:styleId="MiniTOCTitle">
    <w:name w:val="MiniTOCTitle"/>
    <w:basedOn w:val="Heading4"/>
    <w:rsid w:val="00684B2B"/>
    <w:pPr>
      <w:spacing w:before="240"/>
      <w:outlineLvl w:val="9"/>
    </w:pPr>
    <w:rPr>
      <w:noProof/>
      <w:sz w:val="24"/>
    </w:rPr>
  </w:style>
  <w:style w:type="paragraph" w:customStyle="1" w:styleId="MiniTOCItem">
    <w:name w:val="MiniTOCItem"/>
    <w:basedOn w:val="ListBullet"/>
    <w:rsid w:val="00684B2B"/>
    <w:pPr>
      <w:numPr>
        <w:numId w:val="0"/>
      </w:numPr>
      <w:tabs>
        <w:tab w:val="right" w:leader="dot" w:pos="6521"/>
      </w:tabs>
      <w:spacing w:before="0" w:after="0"/>
    </w:pPr>
  </w:style>
  <w:style w:type="paragraph" w:customStyle="1" w:styleId="TOFTitle">
    <w:name w:val="TOFTitle"/>
    <w:basedOn w:val="TOCTitle"/>
    <w:rsid w:val="00684B2B"/>
  </w:style>
  <w:style w:type="paragraph" w:styleId="TableofFigures">
    <w:name w:val="table of figures"/>
    <w:basedOn w:val="Normal"/>
    <w:next w:val="Normal"/>
    <w:semiHidden/>
    <w:rsid w:val="00684B2B"/>
    <w:pPr>
      <w:tabs>
        <w:tab w:val="right" w:leader="dot" w:pos="9072"/>
      </w:tabs>
      <w:ind w:left="970" w:hanging="403"/>
    </w:pPr>
    <w:rPr>
      <w:rFonts w:ascii="Times New Roman" w:hAnsi="Times New Roman"/>
      <w:b/>
    </w:rPr>
  </w:style>
  <w:style w:type="paragraph" w:styleId="ListNumber">
    <w:name w:val="List Number"/>
    <w:basedOn w:val="List"/>
    <w:rsid w:val="00684B2B"/>
    <w:pPr>
      <w:numPr>
        <w:numId w:val="15"/>
      </w:numPr>
      <w:tabs>
        <w:tab w:val="clear" w:pos="340"/>
      </w:tabs>
    </w:pPr>
  </w:style>
  <w:style w:type="character" w:customStyle="1" w:styleId="WingdingSymbols">
    <w:name w:val="Wingding Symbols"/>
    <w:rsid w:val="00684B2B"/>
    <w:rPr>
      <w:rFonts w:ascii="Wingdings" w:hAnsi="Wingdings"/>
    </w:rPr>
  </w:style>
  <w:style w:type="paragraph" w:customStyle="1" w:styleId="TableHeading">
    <w:name w:val="Table Heading"/>
    <w:basedOn w:val="HeadingBase"/>
    <w:rsid w:val="00684B2B"/>
    <w:pPr>
      <w:keepLines/>
      <w:pBdr>
        <w:bottom w:val="single" w:sz="6" w:space="1" w:color="918585"/>
      </w:pBdr>
      <w:spacing w:before="240"/>
    </w:pPr>
  </w:style>
  <w:style w:type="character" w:customStyle="1" w:styleId="HotSpot">
    <w:name w:val="HotSpot"/>
    <w:rsid w:val="00684B2B"/>
    <w:rPr>
      <w:color w:val="0033CC"/>
      <w:u w:val="none"/>
    </w:rPr>
  </w:style>
  <w:style w:type="paragraph" w:customStyle="1" w:styleId="BodyTextRight">
    <w:name w:val="Body Text Right"/>
    <w:basedOn w:val="BodyText"/>
    <w:rsid w:val="00684B2B"/>
    <w:pPr>
      <w:spacing w:before="0" w:after="0"/>
      <w:jc w:val="right"/>
    </w:pPr>
  </w:style>
  <w:style w:type="paragraph" w:styleId="Index3">
    <w:name w:val="index 3"/>
    <w:basedOn w:val="ListNumber2"/>
    <w:next w:val="Normal"/>
    <w:semiHidden/>
    <w:rsid w:val="00684B2B"/>
    <w:pPr>
      <w:numPr>
        <w:numId w:val="0"/>
      </w:numPr>
      <w:tabs>
        <w:tab w:val="right" w:leader="dot" w:pos="4176"/>
      </w:tabs>
    </w:pPr>
  </w:style>
  <w:style w:type="paragraph" w:styleId="ListNumber2">
    <w:name w:val="List Number 2"/>
    <w:basedOn w:val="List2"/>
    <w:rsid w:val="00684B2B"/>
    <w:pPr>
      <w:numPr>
        <w:numId w:val="10"/>
      </w:numPr>
      <w:tabs>
        <w:tab w:val="clear" w:pos="1060"/>
      </w:tabs>
    </w:pPr>
  </w:style>
  <w:style w:type="paragraph" w:customStyle="1" w:styleId="MarginNote">
    <w:name w:val="Margin Note"/>
    <w:basedOn w:val="BodyText"/>
    <w:rsid w:val="00684B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4B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4B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4B2B"/>
    <w:rPr>
      <w:sz w:val="32"/>
    </w:rPr>
  </w:style>
  <w:style w:type="paragraph" w:customStyle="1" w:styleId="HeadingProcedure">
    <w:name w:val="Heading Procedure"/>
    <w:basedOn w:val="HeadingBase"/>
    <w:next w:val="Normal"/>
    <w:rsid w:val="00684B2B"/>
    <w:pPr>
      <w:tabs>
        <w:tab w:val="left" w:pos="0"/>
      </w:tabs>
      <w:spacing w:before="120" w:after="60"/>
    </w:pPr>
    <w:rPr>
      <w:i/>
      <w:color w:val="918585"/>
      <w:sz w:val="22"/>
    </w:rPr>
  </w:style>
  <w:style w:type="paragraph" w:customStyle="1" w:styleId="TableBodyText">
    <w:name w:val="Table Body Text"/>
    <w:basedOn w:val="BodyText"/>
    <w:rsid w:val="00684B2B"/>
    <w:pPr>
      <w:spacing w:before="60" w:after="60"/>
    </w:pPr>
  </w:style>
  <w:style w:type="paragraph" w:styleId="ListContinue">
    <w:name w:val="List Continue"/>
    <w:basedOn w:val="List"/>
    <w:rsid w:val="00684B2B"/>
    <w:pPr>
      <w:ind w:firstLine="0"/>
    </w:pPr>
  </w:style>
  <w:style w:type="paragraph" w:customStyle="1" w:styleId="ListNote">
    <w:name w:val="List Note"/>
    <w:basedOn w:val="List"/>
    <w:rsid w:val="00684B2B"/>
    <w:pPr>
      <w:pBdr>
        <w:top w:val="single" w:sz="6" w:space="2" w:color="918585"/>
        <w:bottom w:val="single" w:sz="6" w:space="2" w:color="918585"/>
      </w:pBdr>
      <w:tabs>
        <w:tab w:val="left" w:pos="1021"/>
      </w:tabs>
      <w:ind w:firstLine="0"/>
    </w:pPr>
  </w:style>
  <w:style w:type="paragraph" w:customStyle="1" w:styleId="Warning">
    <w:name w:val="Warning"/>
    <w:basedOn w:val="BodyText"/>
    <w:rsid w:val="00684B2B"/>
    <w:pPr>
      <w:shd w:val="clear" w:color="auto" w:fill="D9D9D9"/>
      <w:tabs>
        <w:tab w:val="left" w:pos="992"/>
      </w:tabs>
      <w:ind w:left="119" w:right="119"/>
    </w:pPr>
    <w:rPr>
      <w:sz w:val="20"/>
    </w:rPr>
  </w:style>
  <w:style w:type="paragraph" w:customStyle="1" w:styleId="MarginIcons">
    <w:name w:val="Margin Icons"/>
    <w:basedOn w:val="BodyText"/>
    <w:rsid w:val="00684B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4B2B"/>
    <w:rPr>
      <w:rFonts w:ascii="Courier New" w:hAnsi="Courier New"/>
    </w:rPr>
  </w:style>
  <w:style w:type="paragraph" w:customStyle="1" w:styleId="NoteBullet">
    <w:name w:val="Note Bullet"/>
    <w:basedOn w:val="Note"/>
    <w:rsid w:val="00684B2B"/>
    <w:pPr>
      <w:tabs>
        <w:tab w:val="clear" w:pos="680"/>
      </w:tabs>
      <w:spacing w:before="60" w:after="60"/>
    </w:pPr>
  </w:style>
  <w:style w:type="paragraph" w:customStyle="1" w:styleId="SubHeading2">
    <w:name w:val="SubHeading2"/>
    <w:basedOn w:val="HeadingBase"/>
    <w:rsid w:val="00684B2B"/>
    <w:pPr>
      <w:spacing w:before="240" w:after="60"/>
    </w:pPr>
    <w:rPr>
      <w:sz w:val="20"/>
    </w:rPr>
  </w:style>
  <w:style w:type="paragraph" w:customStyle="1" w:styleId="SubHeading1">
    <w:name w:val="SubHeading1"/>
    <w:basedOn w:val="HeadingBase"/>
    <w:rsid w:val="00684B2B"/>
    <w:pPr>
      <w:spacing w:before="240" w:after="60"/>
    </w:pPr>
    <w:rPr>
      <w:color w:val="918585"/>
      <w:sz w:val="22"/>
    </w:rPr>
  </w:style>
  <w:style w:type="paragraph" w:customStyle="1" w:styleId="SideHeading">
    <w:name w:val="Side Heading"/>
    <w:basedOn w:val="HeadingBase"/>
    <w:rsid w:val="00684B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4B2B"/>
    <w:pPr>
      <w:tabs>
        <w:tab w:val="num" w:pos="360"/>
      </w:tabs>
    </w:pPr>
  </w:style>
  <w:style w:type="paragraph" w:styleId="PlainText">
    <w:name w:val="Plain Text"/>
    <w:basedOn w:val="Normal"/>
    <w:link w:val="PlainTextChar"/>
    <w:rsid w:val="00684B2B"/>
    <w:rPr>
      <w:sz w:val="20"/>
    </w:rPr>
  </w:style>
  <w:style w:type="character" w:customStyle="1" w:styleId="PlainTextChar">
    <w:name w:val="Plain Text Char"/>
    <w:basedOn w:val="DefaultParagraphFont"/>
    <w:link w:val="PlainText"/>
    <w:rsid w:val="00684B2B"/>
    <w:rPr>
      <w:rFonts w:ascii="Courier New" w:eastAsia="Times New Roman" w:hAnsi="Courier New" w:cs="Times New Roman"/>
      <w:sz w:val="20"/>
      <w:szCs w:val="20"/>
      <w:lang w:eastAsia="en-US"/>
    </w:rPr>
  </w:style>
  <w:style w:type="character" w:customStyle="1" w:styleId="MenuOption">
    <w:name w:val="Menu Option"/>
    <w:basedOn w:val="DefaultParagraphFont"/>
    <w:rsid w:val="00684B2B"/>
    <w:rPr>
      <w:b/>
      <w:smallCaps/>
    </w:rPr>
  </w:style>
  <w:style w:type="paragraph" w:customStyle="1" w:styleId="TableListNumber">
    <w:name w:val="Table List Number"/>
    <w:basedOn w:val="ListNumber"/>
    <w:rsid w:val="00684B2B"/>
    <w:pPr>
      <w:numPr>
        <w:numId w:val="0"/>
      </w:numPr>
    </w:pPr>
  </w:style>
  <w:style w:type="paragraph" w:styleId="TOC4">
    <w:name w:val="toc 4"/>
    <w:basedOn w:val="TOCBase"/>
    <w:next w:val="Normal"/>
    <w:semiHidden/>
    <w:rsid w:val="00684B2B"/>
    <w:pPr>
      <w:tabs>
        <w:tab w:val="right" w:leader="dot" w:pos="9071"/>
      </w:tabs>
      <w:ind w:left="1701"/>
    </w:pPr>
  </w:style>
  <w:style w:type="paragraph" w:customStyle="1" w:styleId="ListAlpha">
    <w:name w:val="List Alpha"/>
    <w:basedOn w:val="List"/>
    <w:rsid w:val="00684B2B"/>
    <w:pPr>
      <w:numPr>
        <w:numId w:val="9"/>
      </w:numPr>
    </w:pPr>
  </w:style>
  <w:style w:type="paragraph" w:customStyle="1" w:styleId="ListAlpha2">
    <w:name w:val="List Alpha 2"/>
    <w:basedOn w:val="List2"/>
    <w:rsid w:val="00684B2B"/>
    <w:pPr>
      <w:numPr>
        <w:numId w:val="8"/>
      </w:numPr>
    </w:pPr>
  </w:style>
  <w:style w:type="paragraph" w:styleId="List2">
    <w:name w:val="List 2"/>
    <w:basedOn w:val="BodyText"/>
    <w:rsid w:val="00684B2B"/>
    <w:pPr>
      <w:tabs>
        <w:tab w:val="left" w:pos="680"/>
      </w:tabs>
      <w:spacing w:before="60" w:after="60"/>
      <w:ind w:left="680" w:hanging="340"/>
    </w:pPr>
  </w:style>
  <w:style w:type="paragraph" w:styleId="List3">
    <w:name w:val="List 3"/>
    <w:basedOn w:val="BodyText"/>
    <w:rsid w:val="00684B2B"/>
    <w:pPr>
      <w:tabs>
        <w:tab w:val="left" w:pos="1021"/>
      </w:tabs>
      <w:spacing w:before="60" w:after="60"/>
      <w:ind w:left="1020" w:hanging="340"/>
    </w:pPr>
  </w:style>
  <w:style w:type="paragraph" w:styleId="List4">
    <w:name w:val="List 4"/>
    <w:basedOn w:val="BodyText"/>
    <w:rsid w:val="00684B2B"/>
    <w:pPr>
      <w:tabs>
        <w:tab w:val="left" w:pos="1361"/>
      </w:tabs>
      <w:spacing w:before="60" w:after="60"/>
      <w:ind w:left="1361" w:hanging="340"/>
    </w:pPr>
  </w:style>
  <w:style w:type="paragraph" w:styleId="List5">
    <w:name w:val="List 5"/>
    <w:basedOn w:val="BodyText"/>
    <w:rsid w:val="00684B2B"/>
    <w:pPr>
      <w:tabs>
        <w:tab w:val="left" w:pos="1701"/>
      </w:tabs>
      <w:spacing w:before="60" w:after="60"/>
      <w:ind w:left="1701" w:hanging="340"/>
    </w:pPr>
  </w:style>
  <w:style w:type="paragraph" w:styleId="ListBullet3">
    <w:name w:val="List Bullet 3"/>
    <w:basedOn w:val="List3"/>
    <w:rsid w:val="00684B2B"/>
    <w:pPr>
      <w:numPr>
        <w:numId w:val="14"/>
      </w:numPr>
      <w:tabs>
        <w:tab w:val="clear" w:pos="1021"/>
      </w:tabs>
      <w:ind w:left="1037" w:hanging="357"/>
    </w:pPr>
  </w:style>
  <w:style w:type="paragraph" w:styleId="ListBullet4">
    <w:name w:val="List Bullet 4"/>
    <w:basedOn w:val="List4"/>
    <w:rsid w:val="00684B2B"/>
    <w:pPr>
      <w:numPr>
        <w:numId w:val="3"/>
      </w:numPr>
      <w:tabs>
        <w:tab w:val="clear" w:pos="1361"/>
      </w:tabs>
    </w:pPr>
  </w:style>
  <w:style w:type="paragraph" w:styleId="ListBullet5">
    <w:name w:val="List Bullet 5"/>
    <w:basedOn w:val="List5"/>
    <w:rsid w:val="00684B2B"/>
    <w:pPr>
      <w:numPr>
        <w:numId w:val="4"/>
      </w:numPr>
    </w:pPr>
  </w:style>
  <w:style w:type="paragraph" w:styleId="ListContinue2">
    <w:name w:val="List Continue 2"/>
    <w:basedOn w:val="List2"/>
    <w:rsid w:val="00684B2B"/>
    <w:pPr>
      <w:ind w:firstLine="0"/>
    </w:pPr>
  </w:style>
  <w:style w:type="paragraph" w:styleId="ListContinue3">
    <w:name w:val="List Continue 3"/>
    <w:basedOn w:val="List3"/>
    <w:rsid w:val="00684B2B"/>
    <w:pPr>
      <w:ind w:left="1021" w:firstLine="0"/>
    </w:pPr>
  </w:style>
  <w:style w:type="paragraph" w:styleId="ListContinue4">
    <w:name w:val="List Continue 4"/>
    <w:basedOn w:val="List4"/>
    <w:rsid w:val="00684B2B"/>
    <w:pPr>
      <w:ind w:firstLine="0"/>
    </w:pPr>
  </w:style>
  <w:style w:type="paragraph" w:styleId="ListContinue5">
    <w:name w:val="List Continue 5"/>
    <w:basedOn w:val="List5"/>
    <w:rsid w:val="00684B2B"/>
    <w:pPr>
      <w:ind w:firstLine="0"/>
    </w:pPr>
  </w:style>
  <w:style w:type="paragraph" w:styleId="ListNumber3">
    <w:name w:val="List Number 3"/>
    <w:basedOn w:val="List3"/>
    <w:rsid w:val="00684B2B"/>
    <w:pPr>
      <w:numPr>
        <w:numId w:val="5"/>
      </w:numPr>
    </w:pPr>
  </w:style>
  <w:style w:type="paragraph" w:styleId="ListNumber4">
    <w:name w:val="List Number 4"/>
    <w:basedOn w:val="List4"/>
    <w:rsid w:val="00684B2B"/>
    <w:pPr>
      <w:numPr>
        <w:numId w:val="6"/>
      </w:numPr>
    </w:pPr>
  </w:style>
  <w:style w:type="paragraph" w:styleId="ListNumber5">
    <w:name w:val="List Number 5"/>
    <w:basedOn w:val="List5"/>
    <w:rsid w:val="00684B2B"/>
    <w:pPr>
      <w:numPr>
        <w:numId w:val="7"/>
      </w:numPr>
    </w:pPr>
  </w:style>
  <w:style w:type="paragraph" w:styleId="BlockText">
    <w:name w:val="Block Text"/>
    <w:basedOn w:val="Normal"/>
    <w:rsid w:val="00684B2B"/>
    <w:pPr>
      <w:spacing w:after="120"/>
      <w:ind w:left="1440" w:right="1440"/>
    </w:pPr>
  </w:style>
  <w:style w:type="character" w:customStyle="1" w:styleId="Subscript">
    <w:name w:val="Subscript"/>
    <w:basedOn w:val="DefaultParagraphFont"/>
    <w:rsid w:val="00684B2B"/>
    <w:rPr>
      <w:sz w:val="16"/>
      <w:vertAlign w:val="subscript"/>
    </w:rPr>
  </w:style>
  <w:style w:type="character" w:customStyle="1" w:styleId="Superscript">
    <w:name w:val="Superscript"/>
    <w:basedOn w:val="DefaultParagraphFont"/>
    <w:rsid w:val="00684B2B"/>
    <w:rPr>
      <w:sz w:val="16"/>
      <w:vertAlign w:val="superscript"/>
    </w:rPr>
  </w:style>
  <w:style w:type="character" w:customStyle="1" w:styleId="Symbols">
    <w:name w:val="Symbols"/>
    <w:basedOn w:val="DefaultParagraphFont"/>
    <w:rsid w:val="00684B2B"/>
    <w:rPr>
      <w:rFonts w:ascii="Symbol" w:hAnsi="Symbol"/>
    </w:rPr>
  </w:style>
  <w:style w:type="character" w:customStyle="1" w:styleId="MenuOptions">
    <w:name w:val="Menu Options"/>
    <w:basedOn w:val="DefaultParagraphFont"/>
    <w:rsid w:val="00684B2B"/>
    <w:rPr>
      <w:rFonts w:ascii="Arial Narrow" w:hAnsi="Arial Narrow"/>
      <w:smallCaps/>
    </w:rPr>
  </w:style>
  <w:style w:type="character" w:customStyle="1" w:styleId="Buttons">
    <w:name w:val="Buttons"/>
    <w:basedOn w:val="DefaultParagraphFont"/>
    <w:rsid w:val="00684B2B"/>
    <w:rPr>
      <w:b/>
    </w:rPr>
  </w:style>
  <w:style w:type="character" w:customStyle="1" w:styleId="Underlined">
    <w:name w:val="Underlined"/>
    <w:basedOn w:val="DefaultParagraphFont"/>
    <w:rsid w:val="00684B2B"/>
    <w:rPr>
      <w:u w:val="single"/>
    </w:rPr>
  </w:style>
  <w:style w:type="paragraph" w:customStyle="1" w:styleId="TableBodyTextRight">
    <w:name w:val="Table Body Text Right"/>
    <w:basedOn w:val="TableBodyText"/>
    <w:rsid w:val="00684B2B"/>
    <w:pPr>
      <w:widowControl w:val="0"/>
      <w:autoSpaceDE w:val="0"/>
      <w:autoSpaceDN w:val="0"/>
      <w:adjustRightInd w:val="0"/>
      <w:jc w:val="right"/>
    </w:pPr>
    <w:rPr>
      <w:rFonts w:cs="Arial"/>
      <w:szCs w:val="18"/>
    </w:rPr>
  </w:style>
  <w:style w:type="paragraph" w:customStyle="1" w:styleId="CopyrightText">
    <w:name w:val="Copyright Text"/>
    <w:basedOn w:val="BodyText"/>
    <w:rsid w:val="00684B2B"/>
    <w:rPr>
      <w:sz w:val="18"/>
    </w:rPr>
  </w:style>
  <w:style w:type="paragraph" w:customStyle="1" w:styleId="BodySmallRight">
    <w:name w:val="Body Small Right"/>
    <w:basedOn w:val="BodyTextRight"/>
    <w:rsid w:val="00684B2B"/>
    <w:rPr>
      <w:sz w:val="18"/>
      <w:szCs w:val="18"/>
    </w:rPr>
  </w:style>
  <w:style w:type="paragraph" w:customStyle="1" w:styleId="MarginEdition">
    <w:name w:val="Margin Edition"/>
    <w:basedOn w:val="MarginNote"/>
    <w:rsid w:val="00684B2B"/>
    <w:pPr>
      <w:spacing w:before="0" w:after="0"/>
    </w:pPr>
    <w:rPr>
      <w:rFonts w:ascii="Times New Roman" w:hAnsi="Times New Roman"/>
      <w:color w:val="999999"/>
    </w:rPr>
  </w:style>
  <w:style w:type="paragraph" w:customStyle="1" w:styleId="Spacer">
    <w:name w:val="Spacer"/>
    <w:basedOn w:val="Normal"/>
    <w:rsid w:val="00684B2B"/>
    <w:rPr>
      <w:sz w:val="2"/>
      <w:szCs w:val="2"/>
    </w:rPr>
  </w:style>
  <w:style w:type="character" w:customStyle="1" w:styleId="Small">
    <w:name w:val="Small"/>
    <w:basedOn w:val="DefaultParagraphFont"/>
    <w:rsid w:val="00684B2B"/>
    <w:rPr>
      <w:sz w:val="16"/>
    </w:rPr>
  </w:style>
  <w:style w:type="paragraph" w:customStyle="1" w:styleId="WideTable">
    <w:name w:val="Wide Table"/>
    <w:basedOn w:val="Normal"/>
    <w:rsid w:val="00684B2B"/>
    <w:pPr>
      <w:ind w:left="-1418"/>
    </w:pPr>
    <w:rPr>
      <w:sz w:val="2"/>
      <w:szCs w:val="2"/>
    </w:rPr>
  </w:style>
  <w:style w:type="character" w:styleId="PageNumber">
    <w:name w:val="page number"/>
    <w:basedOn w:val="DefaultParagraphFont"/>
    <w:rsid w:val="00684B2B"/>
  </w:style>
  <w:style w:type="paragraph" w:styleId="Quote">
    <w:name w:val="Quote"/>
    <w:basedOn w:val="Heading1"/>
    <w:link w:val="QuoteChar"/>
    <w:qFormat/>
    <w:rsid w:val="00684B2B"/>
    <w:rPr>
      <w:b w:val="0"/>
      <w:sz w:val="72"/>
      <w:szCs w:val="72"/>
      <w:lang w:val="en-NZ"/>
    </w:rPr>
  </w:style>
  <w:style w:type="character" w:customStyle="1" w:styleId="QuoteChar">
    <w:name w:val="Quote Char"/>
    <w:basedOn w:val="DefaultParagraphFont"/>
    <w:link w:val="Quote"/>
    <w:rsid w:val="00684B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4B2B"/>
    <w:pPr>
      <w:pageBreakBefore/>
    </w:pPr>
  </w:style>
  <w:style w:type="paragraph" w:customStyle="1" w:styleId="Border">
    <w:name w:val="Border"/>
    <w:basedOn w:val="Normal"/>
    <w:qFormat/>
    <w:rsid w:val="00684B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4B2B"/>
    <w:rPr>
      <w:b/>
      <w:bCs/>
      <w:i/>
      <w:iCs/>
      <w:color w:val="auto"/>
    </w:rPr>
  </w:style>
  <w:style w:type="paragraph" w:styleId="IntenseQuote">
    <w:name w:val="Intense Quote"/>
    <w:basedOn w:val="Normal"/>
    <w:next w:val="Normal"/>
    <w:link w:val="IntenseQuoteChar"/>
    <w:uiPriority w:val="30"/>
    <w:qFormat/>
    <w:rsid w:val="00684B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4B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4B2B"/>
    <w:rPr>
      <w:smallCaps/>
      <w:color w:val="auto"/>
      <w:u w:val="single"/>
    </w:rPr>
  </w:style>
  <w:style w:type="character" w:styleId="IntenseReference">
    <w:name w:val="Intense Reference"/>
    <w:basedOn w:val="DefaultParagraphFont"/>
    <w:uiPriority w:val="32"/>
    <w:qFormat/>
    <w:rsid w:val="00684B2B"/>
    <w:rPr>
      <w:b/>
      <w:bCs/>
      <w:smallCaps/>
      <w:color w:val="auto"/>
      <w:spacing w:val="5"/>
      <w:u w:val="single"/>
    </w:rPr>
  </w:style>
  <w:style w:type="paragraph" w:customStyle="1" w:styleId="2ColumnHeading">
    <w:name w:val="2Column Heading"/>
    <w:basedOn w:val="BodyText"/>
    <w:qFormat/>
    <w:rsid w:val="00684B2B"/>
    <w:pPr>
      <w:spacing w:after="60"/>
      <w:ind w:left="-2268"/>
    </w:pPr>
    <w:rPr>
      <w:b/>
    </w:rPr>
  </w:style>
  <w:style w:type="paragraph" w:customStyle="1" w:styleId="Heading1TOC">
    <w:name w:val="Heading1 TOC"/>
    <w:basedOn w:val="Normal"/>
    <w:qFormat/>
    <w:rsid w:val="00684B2B"/>
    <w:pPr>
      <w:spacing w:before="240" w:after="120"/>
    </w:pPr>
    <w:rPr>
      <w:rFonts w:ascii="Times New Roman" w:hAnsi="Times New Roman"/>
      <w:b/>
      <w:sz w:val="32"/>
    </w:rPr>
  </w:style>
  <w:style w:type="paragraph" w:customStyle="1" w:styleId="Heading2TOC">
    <w:name w:val="Heading2 TOC"/>
    <w:basedOn w:val="Normal"/>
    <w:qFormat/>
    <w:rsid w:val="00684B2B"/>
    <w:pPr>
      <w:spacing w:before="240" w:after="60"/>
    </w:pPr>
    <w:rPr>
      <w:rFonts w:ascii="Times New Roman" w:hAnsi="Times New Roman"/>
      <w:b/>
      <w:sz w:val="28"/>
    </w:rPr>
  </w:style>
  <w:style w:type="character" w:customStyle="1" w:styleId="Underline">
    <w:name w:val="Underline"/>
    <w:basedOn w:val="DefaultParagraphFont"/>
    <w:qFormat/>
    <w:rsid w:val="00684B2B"/>
    <w:rPr>
      <w:u w:val="single"/>
    </w:rPr>
  </w:style>
  <w:style w:type="character" w:customStyle="1" w:styleId="BoldandItalics">
    <w:name w:val="Bold and Italics"/>
    <w:qFormat/>
    <w:rsid w:val="00684B2B"/>
    <w:rPr>
      <w:b/>
      <w:i/>
      <w:u w:val="none"/>
    </w:rPr>
  </w:style>
  <w:style w:type="paragraph" w:styleId="BalloonText">
    <w:name w:val="Balloon Text"/>
    <w:basedOn w:val="Normal"/>
    <w:link w:val="BalloonTextChar"/>
    <w:rsid w:val="00684B2B"/>
    <w:rPr>
      <w:rFonts w:ascii="Tahoma" w:hAnsi="Tahoma" w:cs="Tahoma"/>
      <w:sz w:val="16"/>
      <w:szCs w:val="16"/>
    </w:rPr>
  </w:style>
  <w:style w:type="character" w:customStyle="1" w:styleId="BalloonTextChar">
    <w:name w:val="Balloon Text Char"/>
    <w:basedOn w:val="DefaultParagraphFont"/>
    <w:link w:val="BalloonText"/>
    <w:rsid w:val="00684B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4B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4B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4B2B"/>
    <w:rPr>
      <w:b/>
      <w:color w:val="660033"/>
      <w:spacing w:val="0"/>
    </w:rPr>
  </w:style>
  <w:style w:type="paragraph" w:customStyle="1" w:styleId="Nameditemlist">
    <w:name w:val="Named item list"/>
    <w:basedOn w:val="BodyText"/>
    <w:qFormat/>
    <w:rsid w:val="00684B2B"/>
    <w:pPr>
      <w:tabs>
        <w:tab w:val="left" w:pos="2835"/>
      </w:tabs>
      <w:ind w:left="2835" w:hanging="2835"/>
    </w:pPr>
  </w:style>
  <w:style w:type="paragraph" w:customStyle="1" w:styleId="BodyTextnopadding">
    <w:name w:val="Body Text no padding"/>
    <w:basedOn w:val="BodyText"/>
    <w:qFormat/>
    <w:rsid w:val="00684B2B"/>
    <w:pPr>
      <w:spacing w:before="0" w:after="0"/>
    </w:pPr>
  </w:style>
  <w:style w:type="paragraph" w:customStyle="1" w:styleId="BodyTextBold">
    <w:name w:val="Body Text Bold"/>
    <w:basedOn w:val="BodyText"/>
    <w:qFormat/>
    <w:rsid w:val="00684B2B"/>
    <w:rPr>
      <w:b/>
    </w:rPr>
  </w:style>
  <w:style w:type="character" w:styleId="Hyperlink">
    <w:name w:val="Hyperlink"/>
    <w:basedOn w:val="DefaultParagraphFont"/>
    <w:uiPriority w:val="99"/>
    <w:unhideWhenUsed/>
    <w:rsid w:val="00674C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870</Words>
  <Characters>5701</Characters>
  <Application>Microsoft Office Word</Application>
  <DocSecurity>0</DocSecurity>
  <Lines>190</Lines>
  <Paragraphs>109</Paragraphs>
  <ScaleCrop>false</ScaleCrop>
  <Company>Author-it Software Corporation Ltd.</Company>
  <LinksUpToDate>false</LinksUpToDate>
  <CharactersWithSpaces>6462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TLIE0011 Assess removal load</dc:title>
  <dc:subject>Approved</dc:subject>
  <dc:creator>Industry Skills Australia</dc:creator>
  <cp:keywords>Release: 1</cp:keywords>
  <dc:description>Review Date: 12 April 2008</dc:description>
  <cp:lastModifiedBy>HSD_TPCMSd.prod</cp:lastModifiedBy>
  <cp:revision>3</cp:revision>
  <dcterms:created xsi:type="dcterms:W3CDTF">2025-05-29T06:04:00Z</dcterms:created>
  <dcterms:modified xsi:type="dcterms:W3CDTF">2025-05-29T06:04:00Z</dcterms:modified>
</cp:coreProperties>
</file>