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B5F" w:rsidP="00B05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TLID4048 Top load a dangerous goods tanker</w:t>
      </w:r>
      <w:r>
        <w:fldChar w:fldCharType="end"/>
      </w:r>
    </w:p>
    <w:p w:rsidR="00B05B5F" w:rsidP="00B05B5F">
      <w:pPr>
        <w:pStyle w:val="Version"/>
        <w:sectPr w:rsidSect="00F17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7EB" w:rsidP="00F177EB">
      <w:pPr>
        <w:pStyle w:val="SuperHeading"/>
      </w:pPr>
      <w:r w:rsidRPr="00F177EB">
        <w:t>TLID4048 Top load a dangerous goods tanker</w:t>
      </w:r>
    </w:p>
    <w:p w:rsidR="00000000" w:rsidRPr="00F177EB" w:rsidP="00F177EB">
      <w:pPr>
        <w:pStyle w:val="Heading1"/>
      </w:pPr>
      <w:bookmarkStart w:id="1" w:name="O_844145"/>
      <w:bookmarkEnd w:id="1"/>
      <w:r w:rsidRPr="00F177EB">
        <w:t>Modification History</w:t>
      </w:r>
    </w:p>
    <w:p w:rsidR="00B05B5F" w:rsidP="00B05B5F">
      <w:pPr>
        <w:pStyle w:val="BodyText"/>
      </w:pPr>
      <w:r w:rsidRPr="00F177EB">
        <w:t>Release 1. This is the first release of this unit of competency in the TLI Transport and Logistics Training Package.</w:t>
      </w:r>
    </w:p>
    <w:p w:rsidR="00000000" w:rsidRPr="00F177EB" w:rsidP="00F177EB">
      <w:pPr>
        <w:pStyle w:val="Heading1"/>
      </w:pPr>
      <w:bookmarkStart w:id="2" w:name="O_844146"/>
      <w:bookmarkEnd w:id="2"/>
      <w:r w:rsidRPr="00F177E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177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EB" w:rsidP="00F177EB">
            <w:pPr>
              <w:pStyle w:val="BodyText"/>
            </w:pPr>
            <w:r w:rsidRPr="00F177EB">
              <w:t>This unit involves the skills and knowledge required to top load a tanker carrying liqui</w:t>
            </w:r>
            <w:r w:rsidRPr="00F177EB">
              <w:t xml:space="preserve">d dangerous goods. </w:t>
            </w:r>
          </w:p>
          <w:p w:rsidR="00000000" w:rsidRPr="00F177EB" w:rsidP="00F177EB">
            <w:pPr>
              <w:pStyle w:val="BodyText"/>
            </w:pPr>
            <w:r w:rsidRPr="00F177EB">
              <w:t xml:space="preserve">It includes loading a top load vehicle, working at heights on a dangerous goods tanker and completing load documentation. </w:t>
            </w:r>
          </w:p>
          <w:p w:rsidR="00000000" w:rsidRPr="00F177EB" w:rsidP="00F177EB">
            <w:pPr>
              <w:pStyle w:val="BodyText"/>
            </w:pPr>
            <w:r w:rsidRPr="00F177EB">
              <w:t>This unit applies to those working in the road transport industry and transporting petroleum products.</w:t>
            </w:r>
          </w:p>
          <w:p w:rsidR="00000000" w:rsidRPr="00F177EB" w:rsidP="00F177EB">
            <w:pPr>
              <w:pStyle w:val="BodyText"/>
            </w:pPr>
            <w:r w:rsidRPr="00F177EB">
              <w:t>No licensi</w:t>
            </w:r>
            <w:r w:rsidRPr="00F177EB">
              <w:t>ng, legislative or certification requirements apply to this unit at the time of publication.</w:t>
            </w:r>
          </w:p>
        </w:tc>
      </w:tr>
    </w:tbl>
    <w:p w:rsidR="00B05B5F" w:rsidP="00F177EB">
      <w:pPr>
        <w:pStyle w:val="BodyText"/>
      </w:pPr>
    </w:p>
    <w:p w:rsidR="00B05B5F" w:rsidP="00F177EB">
      <w:pPr>
        <w:pStyle w:val="BodyText"/>
      </w:pPr>
    </w:p>
    <w:p w:rsidR="00000000" w:rsidRPr="00F177EB" w:rsidP="00F177EB">
      <w:pPr>
        <w:pStyle w:val="Heading1"/>
      </w:pPr>
      <w:bookmarkStart w:id="3" w:name="O_844147"/>
      <w:bookmarkEnd w:id="3"/>
      <w:r w:rsidRPr="00F177E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670"/>
      </w:tblGrid>
      <w:tr w:rsidTr="00F17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EB" w:rsidP="00F177EB">
            <w:pPr>
              <w:pStyle w:val="BodyText"/>
            </w:pPr>
            <w:r w:rsidRPr="00F177EB">
              <w:t xml:space="preserve">TLIC0001 Operate chemical tanker </w:t>
            </w:r>
          </w:p>
          <w:p w:rsidR="00000000" w:rsidRPr="00F177EB" w:rsidP="00F177EB">
            <w:pPr>
              <w:pStyle w:val="BodyText"/>
            </w:pPr>
            <w:r w:rsidRPr="00F177EB">
              <w:t>or</w:t>
            </w:r>
          </w:p>
          <w:p w:rsidR="00000000" w:rsidRPr="00F177EB" w:rsidP="00F177EB">
            <w:pPr>
              <w:pStyle w:val="BodyText"/>
            </w:pPr>
            <w:r w:rsidRPr="00F177EB">
              <w:t xml:space="preserve">TLIC0002 Operate fuel tanker </w:t>
            </w:r>
          </w:p>
          <w:p w:rsidR="00000000" w:rsidRPr="00F177EB" w:rsidP="00F177EB">
            <w:pPr>
              <w:pStyle w:val="BodyText"/>
            </w:pPr>
            <w:r w:rsidRPr="00F177EB">
              <w:t>or</w:t>
            </w:r>
          </w:p>
          <w:p w:rsidR="00000000" w:rsidRPr="00F177EB" w:rsidP="00F177EB">
            <w:pPr>
              <w:pStyle w:val="BodyText"/>
            </w:pPr>
            <w:r w:rsidRPr="00F177EB">
              <w:t>TLIC0003 Operate LP gas tanker</w:t>
            </w:r>
          </w:p>
        </w:tc>
      </w:tr>
    </w:tbl>
    <w:p w:rsidR="00B05B5F" w:rsidP="00F177EB">
      <w:pPr>
        <w:pStyle w:val="BodyText"/>
      </w:pPr>
    </w:p>
    <w:p w:rsidR="00B05B5F" w:rsidP="00F177EB">
      <w:pPr>
        <w:pStyle w:val="BodyText"/>
      </w:pPr>
    </w:p>
    <w:p w:rsidR="00000000" w:rsidRPr="00F177EB" w:rsidP="00F177EB">
      <w:pPr>
        <w:pStyle w:val="Heading1"/>
      </w:pPr>
      <w:bookmarkStart w:id="4" w:name="O_844148"/>
      <w:bookmarkEnd w:id="4"/>
      <w:r w:rsidRPr="00F177EB">
        <w:t>Competency Field</w:t>
      </w:r>
    </w:p>
    <w:p w:rsidR="00B05B5F" w:rsidP="00B05B5F">
      <w:pPr>
        <w:pStyle w:val="BodyText"/>
      </w:pPr>
      <w:r w:rsidRPr="00F177EB">
        <w:t>D – Load Handling</w:t>
      </w:r>
    </w:p>
    <w:p w:rsidR="00000000" w:rsidRPr="00F177EB" w:rsidP="00F177EB">
      <w:pPr>
        <w:pStyle w:val="Heading1"/>
      </w:pPr>
      <w:bookmarkStart w:id="5" w:name="O_844149"/>
      <w:bookmarkEnd w:id="5"/>
      <w:r w:rsidRPr="00F177EB">
        <w:t>Unit Sector</w:t>
      </w:r>
    </w:p>
    <w:p w:rsidR="00B05B5F" w:rsidP="00B05B5F">
      <w:pPr>
        <w:pStyle w:val="BodyText"/>
      </w:pPr>
      <w:r w:rsidRPr="00F177EB">
        <w:t>Not applicable.</w:t>
      </w:r>
    </w:p>
    <w:p w:rsidR="00000000" w:rsidRPr="00F177EB" w:rsidP="00F177EB">
      <w:pPr>
        <w:pStyle w:val="Heading1"/>
      </w:pPr>
      <w:bookmarkStart w:id="6" w:name="O_844150"/>
      <w:bookmarkEnd w:id="6"/>
      <w:r w:rsidRPr="00F177E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EB" w:rsidP="00F177EB">
            <w:pPr>
              <w:pStyle w:val="BodyText"/>
            </w:pPr>
            <w:r w:rsidRPr="00F177E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rPr>
                <w:rStyle w:val="SpecialBold"/>
              </w:rPr>
              <w:t>PERFORMANCE CRITERIA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Performance criteria describe the p</w:t>
            </w:r>
            <w:r w:rsidRPr="00F177EB">
              <w:t>erformance needed to demonstrate achievement of the element.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EB" w:rsidP="00F177EB">
            <w:pPr>
              <w:pStyle w:val="BodyText"/>
            </w:pPr>
            <w:r w:rsidRPr="00F177E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rPr>
                <w:rStyle w:val="SpecialBold"/>
              </w:rPr>
              <w:t>Top load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Prior load is determined and prescribed switch load procedures are followed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Product type and quantity to be loaded are checked to determine whether they are in acc</w:t>
            </w:r>
            <w:r w:rsidRPr="00F177EB">
              <w:t>ordance with delivery documentation, and are within safe carrying capacity and gross weight limitations of vehicle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Discrepancies are rectified in accordance with company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Locations of emergency equipment and emergency procedures are identified before loading commences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Personal protective equipment (PPE) is identified and worn in accordance with regulatory and site requirements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Vehicle is checked to ensure it i</w:t>
            </w:r>
            <w:r w:rsidRPr="00F177EB">
              <w:t>s correctly placarded for product to be loaded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Product transfer equipment is connected and bonded in accordance with organisational and site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Site procedures are followed for commencement of loading process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Vehicle is safely loaded with product using only approved equipment, in accordance with organisational requirements and site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Loading process and fill levels are monitored in accordance with company and site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At completion of loading process, all valves on vehicle and load-out facility are closed, and all transfer equipment is secured in accordance with site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Loaded vehicle is checked to be within legal weight limitations, and compliant with r</w:t>
            </w:r>
            <w:r w:rsidRPr="00F177EB">
              <w:t>egulatory requirements and company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 xml:space="preserve">Pre-departure inspection of loaded vehicle is undertaken to ensure hoses, pipes and cables are disconnected and secure, </w:t>
            </w:r>
            <w:r w:rsidRPr="00F177EB">
              <w:t>brake interlock is deactivated, and any obstacles are cleared in accordance with c</w:t>
            </w:r>
            <w:r w:rsidRPr="00F177EB">
              <w:t>ompany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Site is restored to a clean and tidy condition in accordance with site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1.15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Vehicle is moved from loading area without damage to property or injury to people in accordance with site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EB" w:rsidP="00F177EB">
            <w:pPr>
              <w:pStyle w:val="BodyText"/>
            </w:pPr>
            <w:r w:rsidRPr="00F177E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rPr>
                <w:rStyle w:val="SpecialBold"/>
              </w:rPr>
              <w:t>Work at heights on a dangerous goods tanker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Prior to ascending or descending vehicle ladders, required fall restraint safety equipment is connected to vehicle in accordance with safety regulations and site procedures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When operating on top of veh</w:t>
            </w:r>
            <w:r w:rsidRPr="00F177EB">
              <w:t>icle, all fall restraint safety equipment is connected, in accordance with site and safety regulations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EB" w:rsidP="00F177EB">
            <w:pPr>
              <w:pStyle w:val="BodyText"/>
            </w:pPr>
            <w:r w:rsidRPr="00F177E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rPr>
                <w:rStyle w:val="SpecialBold"/>
              </w:rPr>
              <w:t>Complete load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Pre-load documentation is submitted prior to loading and is checked for accuracy of expected load</w:t>
            </w:r>
          </w:p>
        </w:tc>
      </w:tr>
      <w:tr w:rsidTr="00B05B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EB">
            <w:pPr>
              <w:pStyle w:val="BodyText"/>
              <w:rPr>
                <w:lang w:val="en-NZ"/>
              </w:rPr>
            </w:pPr>
            <w:r w:rsidRPr="00F177E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EB" w:rsidP="00F177EB">
            <w:pPr>
              <w:pStyle w:val="BodyText"/>
            </w:pPr>
            <w:r w:rsidRPr="00F177EB">
              <w:t>Shipping documentation is completed, checked and secured in vehicle, in accordance with organisational and legislative requirements, at completion of load</w:t>
            </w:r>
          </w:p>
        </w:tc>
      </w:tr>
    </w:tbl>
    <w:p w:rsidR="00B05B5F" w:rsidP="00F177EB">
      <w:pPr>
        <w:pStyle w:val="BodyText"/>
      </w:pPr>
    </w:p>
    <w:p w:rsidR="00B05B5F" w:rsidP="00F177EB">
      <w:pPr>
        <w:pStyle w:val="BodyText"/>
      </w:pPr>
    </w:p>
    <w:p w:rsidR="00000000" w:rsidRPr="00F177EB" w:rsidP="00F177EB">
      <w:pPr>
        <w:pStyle w:val="Heading1"/>
      </w:pPr>
      <w:bookmarkStart w:id="7" w:name="O_844151"/>
      <w:bookmarkEnd w:id="7"/>
      <w:r w:rsidRPr="00F177EB">
        <w:t>Foundation Skills</w:t>
      </w:r>
    </w:p>
    <w:p w:rsidR="00B05B5F" w:rsidP="00B05B5F">
      <w:pPr>
        <w:pStyle w:val="BodyText"/>
      </w:pPr>
      <w:r w:rsidRPr="00F177EB">
        <w:t xml:space="preserve">Foundation skills essential to performance are explicit in the </w:t>
      </w:r>
      <w:r w:rsidRPr="00F177EB">
        <w:t>performance criteria of this unit of competency.</w:t>
      </w:r>
    </w:p>
    <w:p w:rsidR="00000000" w:rsidRPr="00F177EB" w:rsidP="00F177EB">
      <w:pPr>
        <w:pStyle w:val="Heading1"/>
      </w:pPr>
      <w:bookmarkStart w:id="8" w:name="O_844152"/>
      <w:bookmarkEnd w:id="8"/>
      <w:r w:rsidRPr="00F177EB">
        <w:t>Range of Conditions</w:t>
      </w:r>
    </w:p>
    <w:p w:rsidR="00000000" w:rsidRPr="00F177EB" w:rsidP="00B05B5F">
      <w:pPr>
        <w:pStyle w:val="BodyText"/>
      </w:pPr>
      <w:r w:rsidRPr="00F177EB">
        <w:t>Range is restricted to essential operating conditions and any other variables essential to the work environment.</w:t>
      </w:r>
    </w:p>
    <w:p w:rsidR="00B05B5F" w:rsidP="00B05B5F">
      <w:pPr>
        <w:pStyle w:val="BodyText"/>
      </w:pPr>
      <w:r w:rsidRPr="00F177EB">
        <w:t>Non-essential conditions can be found in the Companion Volume Implementation Guide.</w:t>
      </w:r>
    </w:p>
    <w:p w:rsidR="00000000" w:rsidRPr="00F177EB" w:rsidP="00F177EB">
      <w:pPr>
        <w:pStyle w:val="Heading1"/>
      </w:pPr>
      <w:bookmarkStart w:id="9" w:name="O_844153"/>
      <w:bookmarkEnd w:id="9"/>
      <w:r w:rsidRPr="00F177EB">
        <w:t>Unit Mapping Information</w:t>
      </w:r>
    </w:p>
    <w:p w:rsidR="00B05B5F" w:rsidP="00B05B5F">
      <w:pPr>
        <w:pStyle w:val="BodyText"/>
      </w:pPr>
      <w:r w:rsidRPr="00F177EB">
        <w:t>This unit replaces and is equivalent to TLID4048A Top load a dangerous goods tanker.</w:t>
      </w:r>
    </w:p>
    <w:p w:rsidR="00000000" w:rsidRPr="00F177EB" w:rsidP="00F177EB">
      <w:pPr>
        <w:pStyle w:val="Heading1"/>
      </w:pPr>
      <w:bookmarkStart w:id="10" w:name="O_844160"/>
      <w:bookmarkEnd w:id="10"/>
      <w:r w:rsidRPr="00F177EB">
        <w:t>Links</w:t>
      </w:r>
    </w:p>
    <w:p w:rsidR="00000000" w:rsidRPr="00F177EB" w:rsidP="00B05B5F">
      <w:pPr>
        <w:pStyle w:val="BodyText"/>
      </w:pPr>
      <w:r w:rsidRPr="00F177EB">
        <w:t>Companion Volume imp</w:t>
      </w:r>
      <w:r w:rsidRPr="00F177EB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4F2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77EB" w:rsidP="00F177EB"/>
    <w:sectPr w:rsidSect="00F177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EB" w:rsidRPr="00B05B5F" w:rsidP="00B05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5F" w:rsidP="00F17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B5F" w:rsidP="00F17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5B5F" w:rsidP="00F17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7EB" w:rsidRPr="00B05B5F" w:rsidP="00B05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5F" w:rsidRPr="002D2AF8" w:rsidP="00F17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TLID4048 Top load a dangerous goods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B05B5F" w:rsidP="00F17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7EB"/>
  </w:style>
  <w:style w:type="character" w:customStyle="1" w:styleId="Heading1Char">
    <w:name w:val="Heading 1 Char"/>
    <w:basedOn w:val="DefaultParagraphFont"/>
    <w:link w:val="Heading1"/>
    <w:rsid w:val="00F17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7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77EB"/>
    <w:rPr>
      <w:b/>
      <w:spacing w:val="0"/>
    </w:rPr>
  </w:style>
  <w:style w:type="paragraph" w:customStyle="1" w:styleId="SuperHeading">
    <w:name w:val="SuperHeading"/>
    <w:basedOn w:val="Normal"/>
    <w:rsid w:val="00F17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7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7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7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7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7EB"/>
    <w:rPr>
      <w:i/>
    </w:rPr>
  </w:style>
  <w:style w:type="paragraph" w:styleId="Caption">
    <w:name w:val="caption"/>
    <w:basedOn w:val="BodyText"/>
    <w:next w:val="Normal"/>
    <w:qFormat/>
    <w:rsid w:val="00F17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7EB"/>
  </w:style>
  <w:style w:type="paragraph" w:styleId="TableofFigures">
    <w:name w:val="table of figures"/>
    <w:basedOn w:val="Normal"/>
    <w:next w:val="Normal"/>
    <w:semiHidden/>
    <w:rsid w:val="00F17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7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77EB"/>
    <w:rPr>
      <w:rFonts w:ascii="Wingdings" w:hAnsi="Wingdings"/>
    </w:rPr>
  </w:style>
  <w:style w:type="paragraph" w:customStyle="1" w:styleId="TableHeading">
    <w:name w:val="Table Heading"/>
    <w:basedOn w:val="HeadingBase"/>
    <w:rsid w:val="00F17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7EB"/>
    <w:rPr>
      <w:color w:val="0033CC"/>
      <w:u w:val="none"/>
    </w:rPr>
  </w:style>
  <w:style w:type="paragraph" w:customStyle="1" w:styleId="BodyTextRight">
    <w:name w:val="Body Text Right"/>
    <w:basedOn w:val="BodyText"/>
    <w:rsid w:val="00F17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7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7EB"/>
    <w:rPr>
      <w:sz w:val="32"/>
    </w:rPr>
  </w:style>
  <w:style w:type="paragraph" w:customStyle="1" w:styleId="HeadingProcedure">
    <w:name w:val="Heading Procedure"/>
    <w:basedOn w:val="HeadingBase"/>
    <w:next w:val="Normal"/>
    <w:rsid w:val="00F17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7EB"/>
    <w:pPr>
      <w:spacing w:before="60" w:after="60"/>
    </w:pPr>
  </w:style>
  <w:style w:type="paragraph" w:styleId="ListContinue">
    <w:name w:val="List Continue"/>
    <w:basedOn w:val="List"/>
    <w:rsid w:val="00F177EB"/>
    <w:pPr>
      <w:ind w:firstLine="0"/>
    </w:pPr>
  </w:style>
  <w:style w:type="paragraph" w:customStyle="1" w:styleId="ListNote">
    <w:name w:val="List Note"/>
    <w:basedOn w:val="List"/>
    <w:rsid w:val="00F17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7EB"/>
    <w:rPr>
      <w:rFonts w:ascii="Courier New" w:hAnsi="Courier New"/>
    </w:rPr>
  </w:style>
  <w:style w:type="paragraph" w:customStyle="1" w:styleId="NoteBullet">
    <w:name w:val="Note Bullet"/>
    <w:basedOn w:val="Note"/>
    <w:rsid w:val="00F17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7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7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7EB"/>
    <w:rPr>
      <w:b/>
      <w:smallCaps/>
    </w:rPr>
  </w:style>
  <w:style w:type="paragraph" w:customStyle="1" w:styleId="TableListNumber">
    <w:name w:val="Table List Number"/>
    <w:basedOn w:val="ListNumber"/>
    <w:rsid w:val="00F17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7EB"/>
    <w:pPr>
      <w:numPr>
        <w:numId w:val="7"/>
      </w:numPr>
    </w:pPr>
  </w:style>
  <w:style w:type="paragraph" w:customStyle="1" w:styleId="ListAlpha2">
    <w:name w:val="List Alpha 2"/>
    <w:basedOn w:val="List2"/>
    <w:rsid w:val="00F177EB"/>
    <w:pPr>
      <w:numPr>
        <w:numId w:val="6"/>
      </w:numPr>
    </w:pPr>
  </w:style>
  <w:style w:type="paragraph" w:styleId="List2">
    <w:name w:val="List 2"/>
    <w:basedOn w:val="BodyText"/>
    <w:rsid w:val="00F17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7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7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77EB"/>
    <w:pPr>
      <w:numPr>
        <w:numId w:val="2"/>
      </w:numPr>
    </w:pPr>
  </w:style>
  <w:style w:type="paragraph" w:styleId="ListContinue2">
    <w:name w:val="List Continue 2"/>
    <w:basedOn w:val="List2"/>
    <w:rsid w:val="00F177EB"/>
    <w:pPr>
      <w:ind w:firstLine="0"/>
    </w:pPr>
  </w:style>
  <w:style w:type="paragraph" w:styleId="ListContinue3">
    <w:name w:val="List Continue 3"/>
    <w:basedOn w:val="List3"/>
    <w:rsid w:val="00F177EB"/>
    <w:pPr>
      <w:ind w:left="1021" w:firstLine="0"/>
    </w:pPr>
  </w:style>
  <w:style w:type="paragraph" w:styleId="ListContinue4">
    <w:name w:val="List Continue 4"/>
    <w:basedOn w:val="List4"/>
    <w:rsid w:val="00F177EB"/>
    <w:pPr>
      <w:ind w:firstLine="0"/>
    </w:pPr>
  </w:style>
  <w:style w:type="paragraph" w:styleId="ListContinue5">
    <w:name w:val="List Continue 5"/>
    <w:basedOn w:val="List5"/>
    <w:rsid w:val="00F177EB"/>
    <w:pPr>
      <w:ind w:firstLine="0"/>
    </w:pPr>
  </w:style>
  <w:style w:type="paragraph" w:styleId="ListNumber3">
    <w:name w:val="List Number 3"/>
    <w:basedOn w:val="List3"/>
    <w:rsid w:val="00F177EB"/>
    <w:pPr>
      <w:numPr>
        <w:numId w:val="3"/>
      </w:numPr>
    </w:pPr>
  </w:style>
  <w:style w:type="paragraph" w:styleId="ListNumber4">
    <w:name w:val="List Number 4"/>
    <w:basedOn w:val="List4"/>
    <w:rsid w:val="00F177EB"/>
    <w:pPr>
      <w:numPr>
        <w:numId w:val="4"/>
      </w:numPr>
    </w:pPr>
  </w:style>
  <w:style w:type="paragraph" w:styleId="ListNumber5">
    <w:name w:val="List Number 5"/>
    <w:basedOn w:val="List5"/>
    <w:rsid w:val="00F177EB"/>
    <w:pPr>
      <w:numPr>
        <w:numId w:val="5"/>
      </w:numPr>
    </w:pPr>
  </w:style>
  <w:style w:type="paragraph" w:styleId="BlockText">
    <w:name w:val="Block Text"/>
    <w:basedOn w:val="Normal"/>
    <w:rsid w:val="00F17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7EB"/>
    <w:rPr>
      <w:sz w:val="16"/>
      <w:vertAlign w:val="superscript"/>
    </w:rPr>
  </w:style>
  <w:style w:type="character" w:customStyle="1" w:styleId="Symbols">
    <w:name w:val="Symbols"/>
    <w:basedOn w:val="DefaultParagraphFont"/>
    <w:rsid w:val="00F177EB"/>
    <w:rPr>
      <w:rFonts w:ascii="Symbol" w:hAnsi="Symbol"/>
    </w:rPr>
  </w:style>
  <w:style w:type="character" w:customStyle="1" w:styleId="MenuOptions">
    <w:name w:val="Menu Options"/>
    <w:basedOn w:val="DefaultParagraphFont"/>
    <w:rsid w:val="00F17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7EB"/>
    <w:rPr>
      <w:b/>
    </w:rPr>
  </w:style>
  <w:style w:type="character" w:customStyle="1" w:styleId="Underlined">
    <w:name w:val="Underlined"/>
    <w:basedOn w:val="DefaultParagraphFont"/>
    <w:rsid w:val="00F177EB"/>
    <w:rPr>
      <w:u w:val="single"/>
    </w:rPr>
  </w:style>
  <w:style w:type="paragraph" w:customStyle="1" w:styleId="TableBodyTextRight">
    <w:name w:val="Table Body Text Right"/>
    <w:basedOn w:val="TableBodyText"/>
    <w:rsid w:val="00F17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7EB"/>
    <w:rPr>
      <w:sz w:val="18"/>
    </w:rPr>
  </w:style>
  <w:style w:type="paragraph" w:customStyle="1" w:styleId="BodySmallRight">
    <w:name w:val="Body Small Right"/>
    <w:basedOn w:val="BodyTextRight"/>
    <w:rsid w:val="00F177EB"/>
    <w:rPr>
      <w:sz w:val="18"/>
      <w:szCs w:val="18"/>
    </w:rPr>
  </w:style>
  <w:style w:type="paragraph" w:customStyle="1" w:styleId="MarginEdition">
    <w:name w:val="Margin Edition"/>
    <w:basedOn w:val="MarginNote"/>
    <w:rsid w:val="00F17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7EB"/>
    <w:rPr>
      <w:sz w:val="2"/>
      <w:szCs w:val="2"/>
    </w:rPr>
  </w:style>
  <w:style w:type="character" w:customStyle="1" w:styleId="Small">
    <w:name w:val="Small"/>
    <w:basedOn w:val="DefaultParagraphFont"/>
    <w:rsid w:val="00F177EB"/>
    <w:rPr>
      <w:sz w:val="16"/>
    </w:rPr>
  </w:style>
  <w:style w:type="paragraph" w:customStyle="1" w:styleId="WideTable">
    <w:name w:val="Wide Table"/>
    <w:basedOn w:val="Normal"/>
    <w:rsid w:val="00F17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7EB"/>
  </w:style>
  <w:style w:type="paragraph" w:styleId="Quote">
    <w:name w:val="Quote"/>
    <w:basedOn w:val="Heading1"/>
    <w:link w:val="QuoteChar"/>
    <w:qFormat/>
    <w:rsid w:val="00F17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7EB"/>
    <w:pPr>
      <w:pageBreakBefore/>
    </w:pPr>
  </w:style>
  <w:style w:type="paragraph" w:customStyle="1" w:styleId="Border">
    <w:name w:val="Border"/>
    <w:basedOn w:val="Normal"/>
    <w:qFormat/>
    <w:rsid w:val="00F17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7EB"/>
    <w:rPr>
      <w:u w:val="single"/>
    </w:rPr>
  </w:style>
  <w:style w:type="character" w:customStyle="1" w:styleId="BoldandItalics">
    <w:name w:val="Bold and Italics"/>
    <w:qFormat/>
    <w:rsid w:val="00F177EB"/>
    <w:rPr>
      <w:b/>
      <w:i/>
      <w:u w:val="none"/>
    </w:rPr>
  </w:style>
  <w:style w:type="paragraph" w:styleId="BalloonText">
    <w:name w:val="Balloon Text"/>
    <w:basedOn w:val="Normal"/>
    <w:link w:val="BalloonTextChar"/>
    <w:rsid w:val="00F17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7EB"/>
    <w:pPr>
      <w:spacing w:before="0" w:after="0"/>
    </w:pPr>
  </w:style>
  <w:style w:type="paragraph" w:customStyle="1" w:styleId="BodyTextBold">
    <w:name w:val="Body Text Bold"/>
    <w:basedOn w:val="BodyText"/>
    <w:qFormat/>
    <w:rsid w:val="00F177EB"/>
    <w:rPr>
      <w:b/>
    </w:rPr>
  </w:style>
  <w:style w:type="character" w:styleId="Hyperlink">
    <w:name w:val="Hyperlink"/>
    <w:basedOn w:val="DefaultParagraphFont"/>
    <w:uiPriority w:val="99"/>
    <w:unhideWhenUsed/>
    <w:rsid w:val="00B05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3756</Characters>
  <Application>Microsoft Office Word</Application>
  <DocSecurity>0</DocSecurity>
  <Lines>178</Lines>
  <Paragraphs>95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TLID4048 Top load a dangerous goods tanker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2021-04-12T01:55:00Z</dcterms:created>
  <dcterms:modified xsi:type="dcterms:W3CDTF">2021-04-12T01:55:00Z</dcterms:modified>
</cp:coreProperties>
</file>