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B48" w:rsidP="00007B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TLID3040 Control lift and movement of crane</w:t>
      </w:r>
      <w:r>
        <w:fldChar w:fldCharType="end"/>
      </w:r>
    </w:p>
    <w:p w:rsidR="00007B48" w:rsidP="00007B48">
      <w:pPr>
        <w:pStyle w:val="Version"/>
        <w:sectPr w:rsidSect="00124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E44" w:rsidP="00124E44">
      <w:pPr>
        <w:pStyle w:val="SuperHeading"/>
      </w:pPr>
      <w:r w:rsidRPr="00124E44">
        <w:t>TLID3040 Control lift and movement of crane</w:t>
      </w:r>
    </w:p>
    <w:p w:rsidR="00000000" w:rsidRPr="00124E44" w:rsidP="00124E44">
      <w:pPr>
        <w:pStyle w:val="Heading1"/>
      </w:pPr>
      <w:bookmarkStart w:id="1" w:name="O_797703"/>
      <w:bookmarkEnd w:id="1"/>
      <w:r w:rsidRPr="00124E44">
        <w:t>Modification History</w:t>
      </w:r>
    </w:p>
    <w:p w:rsidR="00007B48" w:rsidP="00007B48">
      <w:pPr>
        <w:pStyle w:val="BodyText"/>
      </w:pPr>
      <w:r w:rsidRPr="00124E44">
        <w:t>Release 1. This is the first release of this unit of competency in the TLI Transport and Logistics Training Package.</w:t>
      </w:r>
    </w:p>
    <w:p w:rsidR="00000000" w:rsidRPr="00124E44" w:rsidP="00124E44">
      <w:pPr>
        <w:pStyle w:val="Heading1"/>
      </w:pPr>
      <w:bookmarkStart w:id="2" w:name="O_797704"/>
      <w:bookmarkEnd w:id="2"/>
      <w:r w:rsidRPr="00124E44">
        <w:t>Application</w:t>
      </w:r>
    </w:p>
    <w:p w:rsidR="00000000" w:rsidRPr="00124E44" w:rsidP="00007B48">
      <w:pPr>
        <w:pStyle w:val="BodyText"/>
      </w:pPr>
      <w:r w:rsidRPr="00124E44">
        <w:t>This unit involves the skills and knowledge required to control the lift and movement of</w:t>
      </w:r>
      <w:r w:rsidRPr="00124E44">
        <w:t xml:space="preserve"> a crane when the load is out of the crane operator’s view, in accordance with workplace principles, procedures and regulations. </w:t>
      </w:r>
    </w:p>
    <w:p w:rsidR="00000000" w:rsidRPr="00124E44" w:rsidP="00007B48">
      <w:pPr>
        <w:pStyle w:val="BodyText"/>
      </w:pPr>
      <w:r w:rsidRPr="00124E44">
        <w:t>It includes providing lift instructions to the crane operator using appropriate communication methods, monitoring the lift and</w:t>
      </w:r>
      <w:r w:rsidRPr="00124E44">
        <w:t xml:space="preserve"> placing and securing a load.</w:t>
      </w:r>
    </w:p>
    <w:p w:rsidR="00000000" w:rsidRPr="00124E44" w:rsidP="00007B48">
      <w:pPr>
        <w:pStyle w:val="BodyText"/>
      </w:pPr>
      <w:r w:rsidRPr="00124E44">
        <w:t>Work must be carried out in compliance with the relevant state/territory authority licence/permit requirements and regulations for operating mobile cranes up to and including 20 tonnes.</w:t>
      </w:r>
    </w:p>
    <w:p w:rsidR="00000000" w:rsidRPr="00124E44" w:rsidP="00007B48">
      <w:pPr>
        <w:pStyle w:val="BodyText"/>
      </w:pPr>
      <w:r w:rsidRPr="00124E44">
        <w:t>Work is performed with limited or minimu</w:t>
      </w:r>
      <w:r w:rsidRPr="00124E44">
        <w:t xml:space="preserve">m supervision, and with limited accountability and responsibility for self and others in achieving prescribed outcomes. </w:t>
      </w:r>
    </w:p>
    <w:p w:rsidR="00007B48" w:rsidP="00007B48">
      <w:pPr>
        <w:pStyle w:val="BodyText"/>
      </w:pPr>
      <w:r w:rsidRPr="00124E44">
        <w:t>No licensing, legislative or certification requirements apply to this unit at the time of publication.</w:t>
      </w:r>
    </w:p>
    <w:p w:rsidR="00000000" w:rsidRPr="00124E44" w:rsidP="00124E44">
      <w:pPr>
        <w:pStyle w:val="Heading1"/>
      </w:pPr>
      <w:bookmarkStart w:id="3" w:name="O_797705"/>
      <w:bookmarkEnd w:id="3"/>
      <w:r w:rsidRPr="00124E44">
        <w:t xml:space="preserve">Pre-requisite </w:t>
      </w:r>
      <w:r w:rsidRPr="00124E44">
        <w:t>Unit</w:t>
      </w:r>
    </w:p>
    <w:p w:rsidR="00000000" w:rsidRPr="00124E44" w:rsidP="00007B48">
      <w:pPr>
        <w:pStyle w:val="BodyText"/>
      </w:pPr>
      <w:r w:rsidRPr="00124E44">
        <w:t>Not applicable.</w:t>
      </w:r>
    </w:p>
    <w:p w:rsidR="00000000" w:rsidRPr="00124E44" w:rsidP="00124E44">
      <w:pPr>
        <w:pStyle w:val="Heading1"/>
      </w:pPr>
      <w:bookmarkStart w:id="4" w:name="O_797706"/>
      <w:bookmarkEnd w:id="4"/>
      <w:r w:rsidRPr="00124E44">
        <w:t>Competency Field</w:t>
      </w:r>
    </w:p>
    <w:p w:rsidR="00007B48" w:rsidP="00007B48">
      <w:pPr>
        <w:pStyle w:val="BodyText"/>
      </w:pPr>
      <w:r w:rsidRPr="00124E44">
        <w:t>D – Load Handling</w:t>
      </w:r>
    </w:p>
    <w:p w:rsidR="00000000" w:rsidRPr="00124E44" w:rsidP="00124E44">
      <w:pPr>
        <w:pStyle w:val="Heading1"/>
      </w:pPr>
      <w:bookmarkStart w:id="5" w:name="O_797707"/>
      <w:bookmarkEnd w:id="5"/>
      <w:r w:rsidRPr="00124E44">
        <w:t>Unit Sector</w:t>
      </w:r>
    </w:p>
    <w:p w:rsidR="00007B48" w:rsidP="00007B48">
      <w:pPr>
        <w:pStyle w:val="BodyText"/>
      </w:pPr>
      <w:r w:rsidRPr="00124E44">
        <w:t>Not applicable.</w:t>
      </w:r>
    </w:p>
    <w:p w:rsidR="00000000" w:rsidRPr="00124E44" w:rsidP="00124E44">
      <w:pPr>
        <w:pStyle w:val="Heading1"/>
      </w:pPr>
      <w:bookmarkStart w:id="6" w:name="O_797708"/>
      <w:bookmarkEnd w:id="6"/>
      <w:r w:rsidRPr="00124E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5"/>
        <w:gridCol w:w="1782"/>
        <w:gridCol w:w="556"/>
        <w:gridCol w:w="6523"/>
      </w:tblGrid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E44" w:rsidP="00124E44">
            <w:pPr>
              <w:pStyle w:val="BodyText"/>
            </w:pPr>
            <w:r w:rsidRPr="00124E44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rPr>
                <w:rStyle w:val="SpecialBold"/>
              </w:rPr>
              <w:t>PERFORMANCE CRITERIA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Performance criteria describe the performance needed to demonstrate achievement of the element.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E44" w:rsidP="00124E44">
            <w:pPr>
              <w:pStyle w:val="BodyText"/>
            </w:pPr>
            <w:r w:rsidRPr="00124E44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rPr>
                <w:rStyle w:val="SpecialBold"/>
              </w:rPr>
              <w:t>Provide lift instructions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Load movement is performed in accordance with planned hazard prevention and control measures in line with appropriate Australi</w:t>
            </w:r>
            <w:r w:rsidRPr="00124E44">
              <w:t>an standards, codes of practice, guidelines and manufacturer specifications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 xml:space="preserve">Agreed communication and signal methods are used to safely coordinate load movement 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 xml:space="preserve">Clear, precise and concise verbal communication and signals are used 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All relevant parameters are taken into account in instructions to ensure a safe, stable and smooth lift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E44" w:rsidP="00124E44">
            <w:pPr>
              <w:pStyle w:val="BodyText"/>
            </w:pPr>
            <w:r w:rsidRPr="00124E44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rPr>
                <w:rStyle w:val="SpecialBold"/>
              </w:rPr>
              <w:t>Monitor lift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Load is constantly monitored to ensure it remains stable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Load conditions that may affect continuing stability are identified and monitored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Temporary bracing and/or load support is maintained until continuing stability is ensured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Unplanned situations are responded to in accordance with workplace procedures in a manner that minimises risk to personnel and equipment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Site emergency procedures are followed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E44" w:rsidP="00124E44">
            <w:pPr>
              <w:pStyle w:val="BodyText"/>
            </w:pPr>
            <w:r w:rsidRPr="00124E44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rPr>
                <w:rStyle w:val="SpecialBold"/>
              </w:rPr>
              <w:t>Place and secure load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Appropriate materials for fixing and anchori</w:t>
            </w:r>
            <w:r w:rsidRPr="00124E44">
              <w:t>ng the load are checked and selected in line with manufacturer specifications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Appropriate fixing methods are used to secure load in line with manufacturer specifications and guidelines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E44" w:rsidP="00124E44">
            <w:pPr>
              <w:pStyle w:val="BodyText"/>
            </w:pPr>
            <w:r w:rsidRPr="00124E44">
              <w:t>Temporary securing is installed where hazards and weather conditions may vary during the load movement</w:t>
            </w:r>
          </w:p>
        </w:tc>
      </w:tr>
    </w:tbl>
    <w:p w:rsidR="00007B48" w:rsidP="00124E44">
      <w:pPr>
        <w:pStyle w:val="BodyText"/>
      </w:pPr>
    </w:p>
    <w:p w:rsidR="00007B48" w:rsidP="00124E44">
      <w:pPr>
        <w:pStyle w:val="BodyText"/>
      </w:pPr>
    </w:p>
    <w:p w:rsidR="00000000" w:rsidRPr="00124E44" w:rsidP="00124E44">
      <w:pPr>
        <w:pStyle w:val="Heading1"/>
      </w:pPr>
      <w:bookmarkStart w:id="7" w:name="O_797709"/>
      <w:bookmarkEnd w:id="7"/>
      <w:r w:rsidRPr="00124E44">
        <w:t>Foundation Skills</w:t>
      </w:r>
    </w:p>
    <w:p w:rsidR="00007B48" w:rsidP="00007B48">
      <w:pPr>
        <w:pStyle w:val="BodyText"/>
      </w:pPr>
      <w:r w:rsidRPr="00124E44">
        <w:t>Foundation skills essential to performance are explicit in the performance criteria of this unit of competency.</w:t>
      </w:r>
    </w:p>
    <w:p w:rsidR="00000000" w:rsidRPr="00124E44" w:rsidP="00124E44">
      <w:pPr>
        <w:pStyle w:val="Heading1"/>
      </w:pPr>
      <w:bookmarkStart w:id="8" w:name="O_797710"/>
      <w:bookmarkEnd w:id="8"/>
      <w:r w:rsidRPr="00124E44">
        <w:t>Range of Conditions</w:t>
      </w:r>
    </w:p>
    <w:p w:rsidR="00000000" w:rsidRPr="00124E44" w:rsidP="00007B48">
      <w:pPr>
        <w:pStyle w:val="BodyText"/>
      </w:pPr>
      <w:r w:rsidRPr="00124E44">
        <w:t>Range is restricted to essential operating conditions and any other variables essential to the work environment.</w:t>
      </w:r>
    </w:p>
    <w:p w:rsidR="00007B48" w:rsidP="00007B48">
      <w:pPr>
        <w:pStyle w:val="BodyText"/>
      </w:pPr>
      <w:r w:rsidRPr="00124E44">
        <w:t>Non-essential conditions can be found in the Companion Volume Implementation Guide.</w:t>
      </w:r>
    </w:p>
    <w:p w:rsidR="00000000" w:rsidRPr="00124E44" w:rsidP="00124E44">
      <w:pPr>
        <w:pStyle w:val="Heading1"/>
      </w:pPr>
      <w:bookmarkStart w:id="9" w:name="O_797711"/>
      <w:bookmarkEnd w:id="9"/>
      <w:r w:rsidRPr="00124E44">
        <w:t xml:space="preserve">Unit </w:t>
      </w:r>
      <w:r w:rsidRPr="00124E44">
        <w:t>Mapping Information</w:t>
      </w:r>
    </w:p>
    <w:p w:rsidR="00007B48" w:rsidP="00007B48">
      <w:pPr>
        <w:pStyle w:val="BodyText"/>
      </w:pPr>
      <w:r w:rsidRPr="00124E44">
        <w:t>This unit replaces and is equivalent to TLID3040A Control lift and movement of crane.</w:t>
      </w:r>
    </w:p>
    <w:p w:rsidR="00000000" w:rsidRPr="00124E44" w:rsidP="00124E44">
      <w:pPr>
        <w:pStyle w:val="Heading1"/>
      </w:pPr>
      <w:bookmarkStart w:id="10" w:name="O_797718"/>
      <w:bookmarkEnd w:id="10"/>
      <w:r w:rsidRPr="00124E44">
        <w:t>Links</w:t>
      </w:r>
    </w:p>
    <w:p w:rsidR="00000000" w:rsidRPr="00124E44" w:rsidP="00007B48">
      <w:pPr>
        <w:pStyle w:val="BodyText"/>
      </w:pPr>
      <w:r w:rsidRPr="00124E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0577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4E44" w:rsidP="00007B48">
      <w:pPr>
        <w:pStyle w:val="BodyText"/>
        <w:sectPr w:rsidSect="00124E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4E44" w:rsidP="00124E44">
      <w:pPr>
        <w:pStyle w:val="SuperHeading"/>
      </w:pPr>
      <w:r w:rsidRPr="00124E44">
        <w:t>Assessment Requirements for TLID3040 Control lift and movement of crane</w:t>
      </w:r>
    </w:p>
    <w:p w:rsidR="00000000" w:rsidRPr="00124E44" w:rsidP="00124E44">
      <w:pPr>
        <w:pStyle w:val="Heading1"/>
      </w:pPr>
      <w:bookmarkStart w:id="11" w:name="O_797713"/>
      <w:bookmarkEnd w:id="11"/>
      <w:r w:rsidRPr="00124E44">
        <w:t>Modification History</w:t>
      </w:r>
    </w:p>
    <w:p w:rsidR="00007B48" w:rsidP="00007B48">
      <w:pPr>
        <w:pStyle w:val="BodyText"/>
      </w:pPr>
      <w:r w:rsidRPr="00124E44">
        <w:t>Release 1. This is the first release of this unit of competency in the TLI Trans</w:t>
      </w:r>
      <w:r w:rsidRPr="00124E44">
        <w:t>port and Logistics Training Package.</w:t>
      </w:r>
    </w:p>
    <w:p w:rsidR="00000000" w:rsidRPr="00124E44" w:rsidP="00124E44">
      <w:pPr>
        <w:pStyle w:val="Heading1"/>
      </w:pPr>
      <w:bookmarkStart w:id="12" w:name="O_797714"/>
      <w:bookmarkEnd w:id="12"/>
      <w:r w:rsidRPr="00124E4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 xml:space="preserve">Evidence required to demonstrate competence in this unit must be relevant to and satisfy all of the requirements of the elements and performance criteria on </w:t>
            </w:r>
            <w:r w:rsidRPr="00124E44">
              <w:t>at least one occasion and include: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E44" w:rsidP="00124E44">
            <w:pPr>
              <w:pStyle w:val="ListBullet"/>
            </w:pPr>
            <w:r w:rsidRPr="00124E44">
              <w:t>applying fatigue management knowledge and techniques</w:t>
            </w:r>
          </w:p>
          <w:p w:rsidR="00000000" w:rsidRPr="00124E44" w:rsidP="00124E44">
            <w:pPr>
              <w:pStyle w:val="ListBullet"/>
            </w:pPr>
            <w:r w:rsidRPr="00124E44">
              <w:t xml:space="preserve">applying precautions and required action to minimise, control or eliminate identified hazards </w:t>
            </w:r>
          </w:p>
          <w:p w:rsidR="00000000" w:rsidRPr="00124E44" w:rsidP="00124E44">
            <w:pPr>
              <w:pStyle w:val="ListBullet"/>
            </w:pPr>
            <w:r w:rsidRPr="00124E44">
              <w:t>applying relevant legislation and workplace procedures</w:t>
            </w:r>
          </w:p>
          <w:p w:rsidR="00000000" w:rsidRPr="00124E44" w:rsidP="00124E44">
            <w:pPr>
              <w:pStyle w:val="ListBullet"/>
            </w:pPr>
            <w:r w:rsidRPr="00124E44">
              <w:t xml:space="preserve">communicating effectively with others </w:t>
            </w:r>
          </w:p>
          <w:p w:rsidR="00000000" w:rsidRPr="00124E44" w:rsidP="00124E44">
            <w:pPr>
              <w:pStyle w:val="ListBullet"/>
            </w:pPr>
            <w:r w:rsidRPr="00124E44">
              <w:t>identifying and correctly using relevant equipment</w:t>
            </w:r>
          </w:p>
          <w:p w:rsidR="00000000" w:rsidRPr="00124E44" w:rsidP="00124E44">
            <w:pPr>
              <w:pStyle w:val="ListBullet"/>
            </w:pPr>
            <w:r w:rsidRPr="00124E44">
              <w:t>monitoring work activities in terms of planned schedule and modifying activities depending on operational contingencies, risk situations and environments</w:t>
            </w:r>
          </w:p>
          <w:p w:rsidR="00000000" w:rsidRPr="00124E44" w:rsidP="00124E44">
            <w:pPr>
              <w:pStyle w:val="ListBullet"/>
            </w:pPr>
            <w:r w:rsidRPr="00124E44">
              <w:t>operating an</w:t>
            </w:r>
            <w:r w:rsidRPr="00124E44">
              <w:t>d adapting to differences in equipment in accordance with operating procedures</w:t>
            </w:r>
          </w:p>
          <w:p w:rsidR="00000000" w:rsidRPr="00124E44" w:rsidP="00124E44">
            <w:pPr>
              <w:pStyle w:val="ListBullet"/>
            </w:pPr>
            <w:r w:rsidRPr="00124E44">
              <w:t>operating electronic communications equipment to required protocol</w:t>
            </w:r>
          </w:p>
          <w:p w:rsidR="00000000" w:rsidRPr="00124E44" w:rsidP="00124E44">
            <w:pPr>
              <w:pStyle w:val="ListBullet"/>
            </w:pPr>
            <w:r w:rsidRPr="00124E44">
              <w:t>planning own work, predicting consequences and identifying improvements</w:t>
            </w:r>
          </w:p>
          <w:p w:rsidR="00000000" w:rsidRPr="00124E44" w:rsidP="00124E44">
            <w:pPr>
              <w:pStyle w:val="ListBullet"/>
            </w:pPr>
            <w:r w:rsidRPr="00124E44">
              <w:t>prioritising and multi-tasking work</w:t>
            </w:r>
          </w:p>
          <w:p w:rsidR="00000000" w:rsidRPr="00124E44" w:rsidP="00124E44">
            <w:pPr>
              <w:pStyle w:val="ListBullet"/>
            </w:pPr>
            <w:r w:rsidRPr="00124E44">
              <w:t>re</w:t>
            </w:r>
            <w:r w:rsidRPr="00124E44">
              <w:t xml:space="preserve">ading and interpreting relevant instructions, procedures, information, technical data, manuals and signs </w:t>
            </w:r>
          </w:p>
          <w:p w:rsidR="00000000" w:rsidRPr="00124E44" w:rsidP="00124E44">
            <w:pPr>
              <w:pStyle w:val="ListBullet"/>
            </w:pPr>
            <w:r w:rsidRPr="00124E44">
              <w:t xml:space="preserve">working collaboratively with others </w:t>
            </w:r>
          </w:p>
          <w:p w:rsidR="00000000" w:rsidRPr="00124E44" w:rsidP="00124E44">
            <w:pPr>
              <w:pStyle w:val="ListBullet"/>
            </w:pPr>
            <w:r w:rsidRPr="00124E44">
              <w:t xml:space="preserve">working systematically with required attention to detail without injury to self or others, or damage to goods or </w:t>
            </w:r>
            <w:r w:rsidRPr="00124E44">
              <w:t>equipment.</w:t>
            </w:r>
          </w:p>
        </w:tc>
      </w:tr>
    </w:tbl>
    <w:p w:rsidR="00000000" w:rsidRPr="00124E44" w:rsidP="00124E44">
      <w:pPr>
        <w:pStyle w:val="BodyText"/>
      </w:pPr>
    </w:p>
    <w:p w:rsidR="00000000" w:rsidRPr="00124E44" w:rsidP="00124E44">
      <w:pPr>
        <w:pStyle w:val="AllowPageBreak"/>
      </w:pPr>
    </w:p>
    <w:p w:rsidR="00000000" w:rsidRPr="00124E44" w:rsidP="00124E44">
      <w:pPr>
        <w:pStyle w:val="Heading1"/>
      </w:pPr>
      <w:bookmarkStart w:id="13" w:name="O_797715"/>
      <w:bookmarkEnd w:id="13"/>
      <w:r w:rsidRPr="00124E4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E44">
            <w:pPr>
              <w:pStyle w:val="BodyText"/>
              <w:rPr>
                <w:lang w:val="en-NZ"/>
              </w:rPr>
            </w:pPr>
            <w:r w:rsidRPr="00124E4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E44" w:rsidP="00124E44">
            <w:pPr>
              <w:pStyle w:val="ListBullet"/>
            </w:pPr>
            <w:r w:rsidRPr="00124E44">
              <w:t>communication systems used during a lift</w:t>
            </w:r>
          </w:p>
          <w:p w:rsidR="00000000" w:rsidRPr="00124E44" w:rsidP="00124E44">
            <w:pPr>
              <w:pStyle w:val="ListBullet"/>
            </w:pPr>
            <w:r w:rsidRPr="00124E44">
              <w:t>mobile crane applications, capacities, configurations, safety hazards and control mechanisms</w:t>
            </w:r>
          </w:p>
          <w:p w:rsidR="00000000" w:rsidRPr="00124E44" w:rsidP="00124E44">
            <w:pPr>
              <w:pStyle w:val="ListBullet"/>
            </w:pPr>
            <w:r w:rsidRPr="00124E44">
              <w:t>operational work systems and equipment</w:t>
            </w:r>
          </w:p>
          <w:p w:rsidR="00000000" w:rsidRPr="00124E44" w:rsidP="00124E44">
            <w:pPr>
              <w:pStyle w:val="ListBullet"/>
            </w:pPr>
            <w:r w:rsidRPr="00124E44">
              <w:t>problems that may occur during a lift and associated action t</w:t>
            </w:r>
            <w:r w:rsidRPr="00124E44">
              <w:t xml:space="preserve">hat can be taken to address these problems </w:t>
            </w:r>
          </w:p>
          <w:p w:rsidR="00000000" w:rsidRPr="00124E44" w:rsidP="00124E44">
            <w:pPr>
              <w:pStyle w:val="ListBullet"/>
            </w:pPr>
            <w:r w:rsidRPr="00124E44">
              <w:t>relevant work health and safety (WHS)/occupational health and safety (OHS) and environmental procedures and regulations</w:t>
            </w:r>
          </w:p>
          <w:p w:rsidR="00000000" w:rsidRPr="00124E44" w:rsidP="00124E44">
            <w:pPr>
              <w:pStyle w:val="ListBullet"/>
            </w:pPr>
            <w:r w:rsidRPr="00124E44">
              <w:t>relevant road rules, regulations, permit and licence requirements for mobile crane operation</w:t>
            </w:r>
            <w:r w:rsidRPr="00124E44">
              <w:t>s</w:t>
            </w:r>
          </w:p>
          <w:p w:rsidR="00000000" w:rsidRPr="00124E44" w:rsidP="00124E44">
            <w:pPr>
              <w:pStyle w:val="ListBullet"/>
            </w:pPr>
            <w:r w:rsidRPr="00124E44">
              <w:t>risks and hazards involved in mobile crane operations and associated action that can be taken to eliminate or minimise risks</w:t>
            </w:r>
          </w:p>
          <w:p w:rsidR="00000000" w:rsidRPr="00124E44" w:rsidP="00124E44">
            <w:pPr>
              <w:pStyle w:val="ListBullet"/>
            </w:pPr>
            <w:r w:rsidRPr="00124E44">
              <w:t>workplace procedures for controlling lifting and moving a mobile crane.</w:t>
            </w:r>
          </w:p>
        </w:tc>
      </w:tr>
    </w:tbl>
    <w:p w:rsidR="00000000" w:rsidRPr="00124E44" w:rsidP="00124E44">
      <w:pPr>
        <w:pStyle w:val="BodyText"/>
      </w:pPr>
    </w:p>
    <w:p w:rsidR="00000000" w:rsidRPr="00124E44" w:rsidP="00124E44">
      <w:pPr>
        <w:pStyle w:val="AllowPageBreak"/>
      </w:pPr>
    </w:p>
    <w:p w:rsidR="00000000" w:rsidRPr="00124E44" w:rsidP="00124E44">
      <w:pPr>
        <w:pStyle w:val="Heading1"/>
      </w:pPr>
      <w:bookmarkStart w:id="14" w:name="O_797716"/>
      <w:bookmarkEnd w:id="14"/>
      <w:r w:rsidRPr="00124E44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07B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E44" w:rsidP="00124E44">
            <w:pPr>
              <w:pStyle w:val="BodyText"/>
            </w:pPr>
            <w:r w:rsidRPr="00124E44">
              <w:t>As a minimum, as</w:t>
            </w:r>
            <w:r w:rsidRPr="00124E44">
              <w:t xml:space="preserve">sessors must satisfy applicable regulatory requirements, which include requirements in the </w:t>
            </w:r>
            <w:r w:rsidRPr="00124E44">
              <w:rPr>
                <w:rStyle w:val="Emphasis"/>
              </w:rPr>
              <w:t>Standards for Registered Training Organisations</w:t>
            </w:r>
            <w:r w:rsidRPr="00124E44">
              <w:t xml:space="preserve"> current at the time of assessment. </w:t>
            </w:r>
          </w:p>
          <w:p w:rsidR="00000000" w:rsidRPr="00124E44" w:rsidP="00124E44">
            <w:pPr>
              <w:pStyle w:val="BodyText"/>
            </w:pPr>
            <w:r w:rsidRPr="00124E44">
              <w:t xml:space="preserve">As a minimum, assessment must satisfy applicable regulatory requirements, which include requirements in the </w:t>
            </w:r>
            <w:r w:rsidRPr="00124E44">
              <w:rPr>
                <w:rStyle w:val="Emphasis"/>
              </w:rPr>
              <w:t>Standards for Registered Training Organisations</w:t>
            </w:r>
            <w:r w:rsidRPr="00124E44">
              <w:t xml:space="preserve"> current at the time of assessment.</w:t>
            </w:r>
          </w:p>
          <w:p w:rsidR="00000000" w:rsidRPr="00124E44" w:rsidP="00124E44">
            <w:pPr>
              <w:pStyle w:val="BodyText"/>
            </w:pPr>
            <w:r w:rsidRPr="00124E44">
              <w:t>Assessment must occur in workplace operational situations where i</w:t>
            </w:r>
            <w:r w:rsidRPr="00124E44">
              <w:t xml:space="preserve">t is appropriate to do so; where this is not appropriate, assessment must occur in simulated workplace operational situations that replicate workplace conditions. </w:t>
            </w:r>
          </w:p>
          <w:p w:rsidR="00000000" w:rsidRPr="00124E44" w:rsidP="00124E44">
            <w:pPr>
              <w:pStyle w:val="BodyText"/>
            </w:pPr>
            <w:r w:rsidRPr="00124E44">
              <w:t>Assessment processes and techniques must be appropriate to the language, literacy and numera</w:t>
            </w:r>
            <w:r w:rsidRPr="00124E44">
              <w:t>cy requirements of the work being performed and the needs of the candidate.</w:t>
            </w:r>
          </w:p>
          <w:p w:rsidR="00000000" w:rsidRPr="00124E44" w:rsidP="00124E44">
            <w:pPr>
              <w:pStyle w:val="BodyText"/>
            </w:pPr>
            <w:r w:rsidRPr="00124E44">
              <w:t>Resources for assessment include:</w:t>
            </w:r>
          </w:p>
          <w:p w:rsidR="00000000" w:rsidRPr="00124E44" w:rsidP="00124E44">
            <w:pPr>
              <w:pStyle w:val="ListBullet"/>
            </w:pPr>
            <w:r w:rsidRPr="00124E44">
              <w:t>a range of relevant exercises, case studies and/or simulations</w:t>
            </w:r>
          </w:p>
          <w:p w:rsidR="00000000" w:rsidRPr="00124E44" w:rsidP="00124E44">
            <w:pPr>
              <w:pStyle w:val="ListBullet"/>
            </w:pPr>
            <w:r w:rsidRPr="00124E44">
              <w:t>applicable documentation including workplace procedures, regulations, codes of pra</w:t>
            </w:r>
            <w:r w:rsidRPr="00124E44">
              <w:t xml:space="preserve">ctice and operation manuals </w:t>
            </w:r>
          </w:p>
          <w:p w:rsidR="00000000" w:rsidRPr="00124E44" w:rsidP="00124E44">
            <w:pPr>
              <w:pStyle w:val="ListBullet"/>
            </w:pPr>
            <w:r w:rsidRPr="00124E44">
              <w:t>relevant materials, tools, equipment and personal protective equipment currently used in industry.</w:t>
            </w:r>
          </w:p>
        </w:tc>
      </w:tr>
    </w:tbl>
    <w:p w:rsidR="00000000" w:rsidRPr="00124E44" w:rsidP="00124E44">
      <w:pPr>
        <w:pStyle w:val="BodyText"/>
      </w:pPr>
    </w:p>
    <w:p w:rsidR="00000000" w:rsidRPr="00124E44" w:rsidP="00124E44">
      <w:pPr>
        <w:pStyle w:val="AllowPageBreak"/>
      </w:pPr>
    </w:p>
    <w:p w:rsidR="00000000" w:rsidRPr="00124E44" w:rsidP="00124E44">
      <w:pPr>
        <w:pStyle w:val="Heading1"/>
      </w:pPr>
      <w:bookmarkStart w:id="15" w:name="O_797719"/>
      <w:bookmarkEnd w:id="15"/>
      <w:r w:rsidRPr="00124E44">
        <w:t>Links</w:t>
      </w:r>
    </w:p>
    <w:p w:rsidR="00000000" w:rsidRPr="00124E44" w:rsidP="00007B48">
      <w:pPr>
        <w:pStyle w:val="BodyText"/>
      </w:pPr>
      <w:r w:rsidRPr="00124E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0577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24E44" w:rsidP="00124E44"/>
    <w:sectPr w:rsidSect="00124E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E44" w:rsidRPr="00007B48" w:rsidP="00007B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48" w:rsidP="00124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7B48" w:rsidP="00124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07B48" w:rsidP="00124E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E44" w:rsidP="00124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7B48">
      <w:t>Approved</w:t>
    </w:r>
    <w:r w:rsidR="00007B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7B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7B48">
      <w:rPr>
        <w:noProof/>
      </w:rPr>
      <w:t>4</w:t>
    </w:r>
    <w:r>
      <w:rPr>
        <w:noProof/>
      </w:rPr>
      <w:fldChar w:fldCharType="end"/>
    </w:r>
  </w:p>
  <w:p w:rsidR="00124E44" w:rsidP="00124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7B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7B48">
      <w:t>Industry Skills Australia</w:t>
    </w:r>
    <w:r w:rsidR="00007B48">
      <w:fldChar w:fldCharType="end"/>
    </w:r>
  </w:p>
  <w:p w:rsidR="00124E44" w:rsidP="00124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E44" w:rsidRPr="00007B48" w:rsidP="00007B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B48" w:rsidRPr="002D2AF8" w:rsidP="00124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TLID3040 Control lift and movement of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7B48" w:rsidP="00124E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E44" w:rsidRPr="002D2AF8" w:rsidP="00124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7B48">
      <w:t>TLID3040 Control lift and movement of crane</w:t>
    </w:r>
    <w:r w:rsidR="00007B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7B48">
      <w:rPr>
        <w:noProof/>
      </w:rPr>
      <w:t>2 March 2025</w:t>
    </w:r>
    <w:r>
      <w:fldChar w:fldCharType="end"/>
    </w:r>
  </w:p>
  <w:p w:rsidR="00124E44" w:rsidP="00124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6A2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E6D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E44"/>
  </w:style>
  <w:style w:type="character" w:customStyle="1" w:styleId="Heading1Char">
    <w:name w:val="Heading 1 Char"/>
    <w:basedOn w:val="DefaultParagraphFont"/>
    <w:link w:val="Heading1"/>
    <w:rsid w:val="00124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E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4E44"/>
    <w:rPr>
      <w:b/>
      <w:spacing w:val="0"/>
    </w:rPr>
  </w:style>
  <w:style w:type="character" w:styleId="Emphasis">
    <w:name w:val="Emphasis"/>
    <w:basedOn w:val="DefaultParagraphFont"/>
    <w:qFormat/>
    <w:rsid w:val="00124E44"/>
    <w:rPr>
      <w:i/>
    </w:rPr>
  </w:style>
  <w:style w:type="paragraph" w:customStyle="1" w:styleId="SuperHeading">
    <w:name w:val="SuperHeading"/>
    <w:basedOn w:val="Normal"/>
    <w:rsid w:val="00124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4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4E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4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E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4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E44"/>
  </w:style>
  <w:style w:type="paragraph" w:styleId="TableofFigures">
    <w:name w:val="table of figures"/>
    <w:basedOn w:val="Normal"/>
    <w:next w:val="Normal"/>
    <w:semiHidden/>
    <w:rsid w:val="00124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E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24E44"/>
    <w:rPr>
      <w:rFonts w:ascii="Wingdings" w:hAnsi="Wingdings"/>
    </w:rPr>
  </w:style>
  <w:style w:type="paragraph" w:customStyle="1" w:styleId="TableHeading">
    <w:name w:val="Table Heading"/>
    <w:basedOn w:val="HeadingBase"/>
    <w:rsid w:val="00124E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E44"/>
    <w:rPr>
      <w:color w:val="0033CC"/>
      <w:u w:val="none"/>
    </w:rPr>
  </w:style>
  <w:style w:type="paragraph" w:customStyle="1" w:styleId="BodyTextRight">
    <w:name w:val="Body Text Right"/>
    <w:basedOn w:val="BodyText"/>
    <w:rsid w:val="00124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E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E44"/>
    <w:rPr>
      <w:sz w:val="32"/>
    </w:rPr>
  </w:style>
  <w:style w:type="paragraph" w:customStyle="1" w:styleId="HeadingProcedure">
    <w:name w:val="Heading Procedure"/>
    <w:basedOn w:val="HeadingBase"/>
    <w:next w:val="Normal"/>
    <w:rsid w:val="00124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E44"/>
    <w:pPr>
      <w:spacing w:before="60" w:after="60"/>
    </w:pPr>
  </w:style>
  <w:style w:type="paragraph" w:styleId="ListContinue">
    <w:name w:val="List Continue"/>
    <w:basedOn w:val="List"/>
    <w:rsid w:val="00124E44"/>
    <w:pPr>
      <w:ind w:firstLine="0"/>
    </w:pPr>
  </w:style>
  <w:style w:type="paragraph" w:customStyle="1" w:styleId="ListNote">
    <w:name w:val="List Note"/>
    <w:basedOn w:val="List"/>
    <w:rsid w:val="00124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E44"/>
    <w:rPr>
      <w:rFonts w:ascii="Courier New" w:hAnsi="Courier New"/>
    </w:rPr>
  </w:style>
  <w:style w:type="paragraph" w:customStyle="1" w:styleId="NoteBullet">
    <w:name w:val="Note Bullet"/>
    <w:basedOn w:val="Note"/>
    <w:rsid w:val="00124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E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24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E44"/>
    <w:rPr>
      <w:b/>
      <w:smallCaps/>
    </w:rPr>
  </w:style>
  <w:style w:type="paragraph" w:customStyle="1" w:styleId="TableListNumber">
    <w:name w:val="Table List Number"/>
    <w:basedOn w:val="ListNumber"/>
    <w:rsid w:val="00124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E44"/>
    <w:pPr>
      <w:numPr>
        <w:numId w:val="8"/>
      </w:numPr>
    </w:pPr>
  </w:style>
  <w:style w:type="paragraph" w:customStyle="1" w:styleId="ListAlpha2">
    <w:name w:val="List Alpha 2"/>
    <w:basedOn w:val="List2"/>
    <w:rsid w:val="00124E44"/>
    <w:pPr>
      <w:numPr>
        <w:numId w:val="7"/>
      </w:numPr>
    </w:pPr>
  </w:style>
  <w:style w:type="paragraph" w:styleId="List2">
    <w:name w:val="List 2"/>
    <w:basedOn w:val="BodyText"/>
    <w:rsid w:val="00124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E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E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24E44"/>
    <w:pPr>
      <w:numPr>
        <w:numId w:val="3"/>
      </w:numPr>
    </w:pPr>
  </w:style>
  <w:style w:type="paragraph" w:styleId="ListContinue2">
    <w:name w:val="List Continue 2"/>
    <w:basedOn w:val="List2"/>
    <w:rsid w:val="00124E44"/>
    <w:pPr>
      <w:ind w:firstLine="0"/>
    </w:pPr>
  </w:style>
  <w:style w:type="paragraph" w:styleId="ListContinue3">
    <w:name w:val="List Continue 3"/>
    <w:basedOn w:val="List3"/>
    <w:rsid w:val="00124E44"/>
    <w:pPr>
      <w:ind w:left="1021" w:firstLine="0"/>
    </w:pPr>
  </w:style>
  <w:style w:type="paragraph" w:styleId="ListContinue4">
    <w:name w:val="List Continue 4"/>
    <w:basedOn w:val="List4"/>
    <w:rsid w:val="00124E44"/>
    <w:pPr>
      <w:ind w:firstLine="0"/>
    </w:pPr>
  </w:style>
  <w:style w:type="paragraph" w:styleId="ListContinue5">
    <w:name w:val="List Continue 5"/>
    <w:basedOn w:val="List5"/>
    <w:rsid w:val="00124E44"/>
    <w:pPr>
      <w:ind w:firstLine="0"/>
    </w:pPr>
  </w:style>
  <w:style w:type="paragraph" w:styleId="ListNumber3">
    <w:name w:val="List Number 3"/>
    <w:basedOn w:val="List3"/>
    <w:rsid w:val="00124E44"/>
    <w:pPr>
      <w:numPr>
        <w:numId w:val="4"/>
      </w:numPr>
    </w:pPr>
  </w:style>
  <w:style w:type="paragraph" w:styleId="ListNumber4">
    <w:name w:val="List Number 4"/>
    <w:basedOn w:val="List4"/>
    <w:rsid w:val="00124E44"/>
    <w:pPr>
      <w:numPr>
        <w:numId w:val="5"/>
      </w:numPr>
    </w:pPr>
  </w:style>
  <w:style w:type="paragraph" w:styleId="ListNumber5">
    <w:name w:val="List Number 5"/>
    <w:basedOn w:val="List5"/>
    <w:rsid w:val="00124E44"/>
    <w:pPr>
      <w:numPr>
        <w:numId w:val="6"/>
      </w:numPr>
    </w:pPr>
  </w:style>
  <w:style w:type="paragraph" w:styleId="BlockText">
    <w:name w:val="Block Text"/>
    <w:basedOn w:val="Normal"/>
    <w:rsid w:val="00124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E44"/>
    <w:rPr>
      <w:sz w:val="16"/>
      <w:vertAlign w:val="superscript"/>
    </w:rPr>
  </w:style>
  <w:style w:type="character" w:customStyle="1" w:styleId="Symbols">
    <w:name w:val="Symbols"/>
    <w:basedOn w:val="DefaultParagraphFont"/>
    <w:rsid w:val="00124E44"/>
    <w:rPr>
      <w:rFonts w:ascii="Symbol" w:hAnsi="Symbol"/>
    </w:rPr>
  </w:style>
  <w:style w:type="character" w:customStyle="1" w:styleId="MenuOptions">
    <w:name w:val="Menu Options"/>
    <w:basedOn w:val="DefaultParagraphFont"/>
    <w:rsid w:val="00124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E44"/>
    <w:rPr>
      <w:b/>
    </w:rPr>
  </w:style>
  <w:style w:type="character" w:customStyle="1" w:styleId="Underlined">
    <w:name w:val="Underlined"/>
    <w:basedOn w:val="DefaultParagraphFont"/>
    <w:rsid w:val="00124E44"/>
    <w:rPr>
      <w:u w:val="single"/>
    </w:rPr>
  </w:style>
  <w:style w:type="paragraph" w:customStyle="1" w:styleId="TableBodyTextRight">
    <w:name w:val="Table Body Text Right"/>
    <w:basedOn w:val="TableBodyText"/>
    <w:rsid w:val="00124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E44"/>
    <w:rPr>
      <w:sz w:val="18"/>
    </w:rPr>
  </w:style>
  <w:style w:type="paragraph" w:customStyle="1" w:styleId="BodySmallRight">
    <w:name w:val="Body Small Right"/>
    <w:basedOn w:val="BodyTextRight"/>
    <w:rsid w:val="00124E44"/>
    <w:rPr>
      <w:sz w:val="18"/>
      <w:szCs w:val="18"/>
    </w:rPr>
  </w:style>
  <w:style w:type="paragraph" w:customStyle="1" w:styleId="MarginEdition">
    <w:name w:val="Margin Edition"/>
    <w:basedOn w:val="MarginNote"/>
    <w:rsid w:val="00124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E44"/>
    <w:rPr>
      <w:sz w:val="2"/>
      <w:szCs w:val="2"/>
    </w:rPr>
  </w:style>
  <w:style w:type="character" w:customStyle="1" w:styleId="Small">
    <w:name w:val="Small"/>
    <w:basedOn w:val="DefaultParagraphFont"/>
    <w:rsid w:val="00124E44"/>
    <w:rPr>
      <w:sz w:val="16"/>
    </w:rPr>
  </w:style>
  <w:style w:type="paragraph" w:customStyle="1" w:styleId="WideTable">
    <w:name w:val="Wide Table"/>
    <w:basedOn w:val="Normal"/>
    <w:rsid w:val="00124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E44"/>
  </w:style>
  <w:style w:type="paragraph" w:styleId="Quote">
    <w:name w:val="Quote"/>
    <w:basedOn w:val="Heading1"/>
    <w:link w:val="QuoteChar"/>
    <w:qFormat/>
    <w:rsid w:val="00124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E44"/>
    <w:pPr>
      <w:pageBreakBefore/>
    </w:pPr>
  </w:style>
  <w:style w:type="paragraph" w:customStyle="1" w:styleId="Border">
    <w:name w:val="Border"/>
    <w:basedOn w:val="Normal"/>
    <w:qFormat/>
    <w:rsid w:val="00124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E44"/>
    <w:rPr>
      <w:u w:val="single"/>
    </w:rPr>
  </w:style>
  <w:style w:type="character" w:customStyle="1" w:styleId="BoldandItalics">
    <w:name w:val="Bold and Italics"/>
    <w:qFormat/>
    <w:rsid w:val="00124E44"/>
    <w:rPr>
      <w:b/>
      <w:i/>
      <w:u w:val="none"/>
    </w:rPr>
  </w:style>
  <w:style w:type="paragraph" w:styleId="BalloonText">
    <w:name w:val="Balloon Text"/>
    <w:basedOn w:val="Normal"/>
    <w:link w:val="BalloonTextChar"/>
    <w:rsid w:val="00124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E44"/>
    <w:pPr>
      <w:spacing w:before="0" w:after="0"/>
    </w:pPr>
  </w:style>
  <w:style w:type="paragraph" w:customStyle="1" w:styleId="BodyTextBold">
    <w:name w:val="Body Text Bold"/>
    <w:basedOn w:val="BodyText"/>
    <w:qFormat/>
    <w:rsid w:val="00124E44"/>
    <w:rPr>
      <w:b/>
    </w:rPr>
  </w:style>
  <w:style w:type="character" w:styleId="Hyperlink">
    <w:name w:val="Hyperlink"/>
    <w:basedOn w:val="DefaultParagraphFont"/>
    <w:uiPriority w:val="99"/>
    <w:unhideWhenUsed/>
    <w:rsid w:val="00007B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973</Words>
  <Characters>6194</Characters>
  <Application>Microsoft Office Word</Application>
  <DocSecurity>0</DocSecurity>
  <Lines>187</Lines>
  <Paragraphs>119</Paragraphs>
  <ScaleCrop>false</ScaleCrop>
  <Company>Author-it Software Corporation Ltd.</Company>
  <LinksUpToDate>false</LinksUpToDate>
  <CharactersWithSpaces>7048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TLID3040 Control lift and movement of crane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2025-03-02T01:20:00Z</dcterms:created>
  <dcterms:modified xsi:type="dcterms:W3CDTF">2025-03-02T01:20:00Z</dcterms:modified>
</cp:coreProperties>
</file>