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E4F" w:rsidP="00946E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TLID3036 Lift and move load using a mobile crane</w:t>
      </w:r>
      <w:r>
        <w:fldChar w:fldCharType="end"/>
      </w:r>
    </w:p>
    <w:p w:rsidR="00946E4F" w:rsidP="00946E4F">
      <w:pPr>
        <w:pStyle w:val="Version"/>
        <w:sectPr w:rsidSect="00521C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1C3F" w:rsidP="00521C3F">
      <w:pPr>
        <w:pStyle w:val="SuperHeading"/>
      </w:pPr>
      <w:r w:rsidRPr="00521C3F">
        <w:t>Assessment Requirements for TLID3036 Lift and move load using a mobile crane</w:t>
      </w:r>
    </w:p>
    <w:p w:rsidR="00000000" w:rsidRPr="00521C3F" w:rsidP="00521C3F">
      <w:pPr>
        <w:pStyle w:val="Heading1"/>
      </w:pPr>
      <w:bookmarkStart w:id="1" w:name="O_1196306"/>
      <w:bookmarkEnd w:id="1"/>
      <w:r w:rsidRPr="00521C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C3F" w:rsidP="00521C3F">
            <w:pPr>
              <w:pStyle w:val="BodyText"/>
            </w:pPr>
            <w:r w:rsidRPr="00521C3F">
              <w:rPr>
                <w:rStyle w:val="SpecialBold"/>
              </w:rPr>
              <w:t>Release 2.</w:t>
            </w:r>
            <w:r w:rsidRPr="00521C3F">
              <w:t xml:space="preserve"> This is the second release of this unit of competency in the TLI Transport and Logistics Training Package.  </w:t>
            </w:r>
          </w:p>
          <w:p w:rsidR="00000000" w:rsidRPr="00521C3F" w:rsidP="00521C3F">
            <w:pPr>
              <w:pStyle w:val="ListBullet2"/>
            </w:pPr>
            <w:r w:rsidRPr="00521C3F">
              <w:t>Minor changes to unit Application</w:t>
            </w:r>
          </w:p>
          <w:p w:rsidR="00000000" w:rsidRPr="00521C3F" w:rsidP="00521C3F">
            <w:pPr>
              <w:pStyle w:val="ListBullet2"/>
            </w:pPr>
            <w:r w:rsidRPr="00521C3F">
              <w:t>Minor changes to Performance Criteria</w:t>
            </w:r>
          </w:p>
          <w:p w:rsidR="00000000" w:rsidRPr="00521C3F" w:rsidP="00521C3F">
            <w:pPr>
              <w:pStyle w:val="ListBullet2"/>
            </w:pPr>
            <w:r w:rsidRPr="00521C3F">
              <w:t>Minor changes to Performance Evidence</w:t>
            </w:r>
          </w:p>
          <w:p w:rsidR="00000000" w:rsidRPr="00521C3F" w:rsidP="00521C3F">
            <w:pPr>
              <w:pStyle w:val="ListBullet2"/>
            </w:pPr>
            <w:r w:rsidRPr="00521C3F">
              <w:t>Minor changes to Knowledge Evidence</w:t>
            </w:r>
          </w:p>
          <w:p w:rsidR="00000000" w:rsidP="00521C3F">
            <w:pPr>
              <w:pStyle w:val="ListBullet2"/>
              <w:rPr>
                <w:lang w:val="en-NZ"/>
              </w:rPr>
            </w:pPr>
            <w:r w:rsidRPr="00521C3F">
              <w:t>Minor changes to Assessment Conditions.</w:t>
            </w:r>
          </w:p>
        </w:tc>
      </w:tr>
      <w:tr w:rsidTr="00521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C3F" w:rsidP="00521C3F">
            <w:pPr>
              <w:pStyle w:val="BodyText"/>
            </w:pPr>
            <w:r w:rsidRPr="00521C3F">
              <w:rPr>
                <w:rStyle w:val="SpecialBold"/>
              </w:rPr>
              <w:t>Release 1.</w:t>
            </w:r>
            <w:r w:rsidRPr="00521C3F">
              <w:t xml:space="preserve"> This is the first release of this unit of competency in th</w:t>
            </w:r>
            <w:r w:rsidRPr="00521C3F">
              <w:t>e TLI Transport and Logistics Training Package.</w:t>
            </w:r>
          </w:p>
        </w:tc>
      </w:tr>
    </w:tbl>
    <w:p w:rsidR="00946E4F" w:rsidP="00521C3F">
      <w:pPr>
        <w:pStyle w:val="NoPaddingFontSize1"/>
      </w:pPr>
    </w:p>
    <w:p w:rsidR="00946E4F" w:rsidP="00521C3F">
      <w:pPr>
        <w:pStyle w:val="NoPaddingFontSize1"/>
      </w:pPr>
    </w:p>
    <w:p w:rsidR="00000000" w:rsidRPr="00521C3F" w:rsidP="00521C3F">
      <w:pPr>
        <w:pStyle w:val="Heading1"/>
      </w:pPr>
      <w:bookmarkStart w:id="2" w:name="O_1196305"/>
      <w:bookmarkEnd w:id="2"/>
      <w:r w:rsidRPr="00521C3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3F">
            <w:pPr>
              <w:pStyle w:val="BodyText"/>
              <w:rPr>
                <w:lang w:val="en-NZ"/>
              </w:rPr>
            </w:pPr>
            <w:r w:rsidRPr="00521C3F">
              <w:t xml:space="preserve">Evidence required to demonstrate competence in this unit must be relevant to and satisfy all the requirements of the elements and performance criteria </w:t>
            </w:r>
            <w:r w:rsidRPr="00521C3F">
              <w:t>on at least one occasion and include:</w:t>
            </w:r>
          </w:p>
        </w:tc>
      </w:tr>
      <w:tr w:rsidTr="00521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C3F" w:rsidP="00521C3F">
            <w:pPr>
              <w:pStyle w:val="ListBullet"/>
            </w:pPr>
            <w:r w:rsidRPr="00521C3F">
              <w:t xml:space="preserve">applying precautions and required actions to minimise, control or eliminate identified hazards </w:t>
            </w:r>
          </w:p>
          <w:p w:rsidR="00000000" w:rsidRPr="00521C3F" w:rsidP="00521C3F">
            <w:pPr>
              <w:pStyle w:val="ListBullet"/>
            </w:pPr>
            <w:r w:rsidRPr="00521C3F">
              <w:t>applying relevant high-risk work legislation and workplace procedures</w:t>
            </w:r>
          </w:p>
          <w:p w:rsidR="00000000" w:rsidRPr="00521C3F" w:rsidP="00521C3F">
            <w:pPr>
              <w:pStyle w:val="ListBullet"/>
            </w:pPr>
            <w:r w:rsidRPr="00521C3F">
              <w:t>applying risk assessment and management procedures</w:t>
            </w:r>
            <w:r w:rsidRPr="00521C3F">
              <w:t xml:space="preserve"> </w:t>
            </w:r>
          </w:p>
          <w:p w:rsidR="00000000" w:rsidRPr="00521C3F" w:rsidP="00521C3F">
            <w:pPr>
              <w:pStyle w:val="ListBullet"/>
            </w:pPr>
            <w:r w:rsidRPr="00521C3F">
              <w:t>calculating safe working load (SWL) and working load limit (WLL)</w:t>
            </w:r>
          </w:p>
          <w:p w:rsidR="00000000" w:rsidRPr="00521C3F" w:rsidP="00521C3F">
            <w:pPr>
              <w:pStyle w:val="ListBullet"/>
            </w:pPr>
            <w:r w:rsidRPr="00521C3F">
              <w:t xml:space="preserve">communicating and working effectively with others </w:t>
            </w:r>
          </w:p>
          <w:p w:rsidR="00000000" w:rsidRPr="00521C3F" w:rsidP="00521C3F">
            <w:pPr>
              <w:pStyle w:val="ListBullet"/>
            </w:pPr>
            <w:r w:rsidRPr="00521C3F">
              <w:t xml:space="preserve">completing relevant documentation </w:t>
            </w:r>
          </w:p>
          <w:p w:rsidR="00000000" w:rsidRPr="00521C3F" w:rsidP="00521C3F">
            <w:pPr>
              <w:pStyle w:val="ListBullet"/>
            </w:pPr>
            <w:r w:rsidRPr="00521C3F">
              <w:t>effectively completing pre-operational checks, positioning, stabilising, set-up and post-operational ch</w:t>
            </w:r>
            <w:r w:rsidRPr="00521C3F">
              <w:t>ecks of mobile crane</w:t>
            </w:r>
          </w:p>
          <w:p w:rsidR="00000000" w:rsidRPr="00521C3F" w:rsidP="00521C3F">
            <w:pPr>
              <w:pStyle w:val="ListBullet"/>
            </w:pPr>
            <w:r w:rsidRPr="00521C3F">
              <w:t>modifying activities depending on operational contingencies, risk situations and environments</w:t>
            </w:r>
          </w:p>
          <w:p w:rsidR="00000000" w:rsidRPr="00521C3F" w:rsidP="00521C3F">
            <w:pPr>
              <w:pStyle w:val="ListBullet"/>
            </w:pPr>
            <w:r w:rsidRPr="00521C3F">
              <w:t>monitoring performance of equipment</w:t>
            </w:r>
          </w:p>
          <w:p w:rsidR="00000000" w:rsidRPr="00521C3F" w:rsidP="00521C3F">
            <w:pPr>
              <w:pStyle w:val="ListBullet"/>
            </w:pPr>
            <w:r w:rsidRPr="00521C3F">
              <w:t>monitoring work activities in terms of planned schedule</w:t>
            </w:r>
          </w:p>
          <w:p w:rsidR="00000000" w:rsidRPr="00521C3F" w:rsidP="00521C3F">
            <w:pPr>
              <w:pStyle w:val="ListBullet"/>
            </w:pPr>
            <w:r w:rsidRPr="00521C3F">
              <w:t>operating and adapting to differences in equipmen</w:t>
            </w:r>
            <w:r w:rsidRPr="00521C3F">
              <w:t>t in accordance with workplace operating procedures</w:t>
            </w:r>
          </w:p>
          <w:p w:rsidR="00000000" w:rsidRPr="00521C3F" w:rsidP="00521C3F">
            <w:pPr>
              <w:pStyle w:val="ListBullet"/>
            </w:pPr>
            <w:r w:rsidRPr="00521C3F">
              <w:t>operating crane, including all functions to their maximum extension, in lifting and moving a load</w:t>
            </w:r>
          </w:p>
          <w:p w:rsidR="00000000" w:rsidRPr="00521C3F" w:rsidP="00521C3F">
            <w:pPr>
              <w:pStyle w:val="ListBullet"/>
            </w:pPr>
            <w:r w:rsidRPr="00521C3F">
              <w:t xml:space="preserve">reading and interpreting relevant instructions, procedures, information and signs </w:t>
            </w:r>
          </w:p>
          <w:p w:rsidR="00000000" w:rsidRPr="00521C3F" w:rsidP="00521C3F">
            <w:pPr>
              <w:pStyle w:val="ListBullet"/>
            </w:pPr>
            <w:r w:rsidRPr="00521C3F">
              <w:t>reporting and/or rectifying identified problems, faults or malfunctions promptly in accordance with regulatory requirements and workplace procedures</w:t>
            </w:r>
          </w:p>
          <w:p w:rsidR="00000000" w:rsidRPr="00521C3F" w:rsidP="00521C3F">
            <w:pPr>
              <w:pStyle w:val="ListBullet"/>
            </w:pPr>
            <w:r w:rsidRPr="00521C3F">
              <w:t xml:space="preserve">using load charts to determine crane limitations and/or required crane set-up </w:t>
            </w:r>
          </w:p>
          <w:p w:rsidR="00000000" w:rsidRPr="00521C3F" w:rsidP="00521C3F">
            <w:pPr>
              <w:pStyle w:val="ListBullet"/>
            </w:pPr>
            <w:r w:rsidRPr="00521C3F">
              <w:t>using mathematical procedure</w:t>
            </w:r>
            <w:r w:rsidRPr="00521C3F">
              <w:t>s to determine load weight and lifting equipment required for lift.</w:t>
            </w:r>
          </w:p>
        </w:tc>
      </w:tr>
    </w:tbl>
    <w:p w:rsidR="00946E4F" w:rsidP="00521C3F">
      <w:pPr>
        <w:pStyle w:val="NoPaddingFontSize1"/>
      </w:pPr>
    </w:p>
    <w:p w:rsidR="00946E4F" w:rsidP="00521C3F">
      <w:pPr>
        <w:pStyle w:val="NoPaddingFontSize1"/>
      </w:pPr>
    </w:p>
    <w:p w:rsidR="00000000" w:rsidRPr="00521C3F" w:rsidP="00521C3F">
      <w:pPr>
        <w:pStyle w:val="Heading1"/>
      </w:pPr>
      <w:bookmarkStart w:id="3" w:name="O_1196304"/>
      <w:bookmarkEnd w:id="3"/>
      <w:r w:rsidRPr="00521C3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3F">
            <w:pPr>
              <w:pStyle w:val="BodyText"/>
              <w:rPr>
                <w:lang w:val="en-NZ"/>
              </w:rPr>
            </w:pPr>
            <w:r w:rsidRPr="00521C3F">
              <w:t>Evidence required to demonstrate competence in this unit must be relevant to and satisfy all the requirements of the elements and performance crite</w:t>
            </w:r>
            <w:r w:rsidRPr="00521C3F">
              <w:t>ria and include knowledge of:</w:t>
            </w:r>
          </w:p>
        </w:tc>
      </w:tr>
      <w:tr w:rsidTr="00521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C3F" w:rsidP="00521C3F">
            <w:pPr>
              <w:pStyle w:val="ListBullet"/>
            </w:pPr>
            <w:r w:rsidRPr="00521C3F">
              <w:t>communications systems used during a lift</w:t>
            </w:r>
          </w:p>
          <w:p w:rsidR="00000000" w:rsidRPr="00521C3F" w:rsidP="00521C3F">
            <w:pPr>
              <w:pStyle w:val="ListBullet"/>
            </w:pPr>
            <w:r w:rsidRPr="00521C3F">
              <w:t xml:space="preserve">hazard management, using the principle of hierarchy of control </w:t>
            </w:r>
          </w:p>
          <w:p w:rsidR="00000000" w:rsidRPr="00521C3F" w:rsidP="00521C3F">
            <w:pPr>
              <w:pStyle w:val="ListBullet"/>
            </w:pPr>
            <w:r w:rsidRPr="00521C3F">
              <w:t>high-risk work licence requirements</w:t>
            </w:r>
          </w:p>
          <w:p w:rsidR="00000000" w:rsidRPr="00521C3F" w:rsidP="00521C3F">
            <w:pPr>
              <w:pStyle w:val="ListBullet"/>
            </w:pPr>
            <w:r w:rsidRPr="00521C3F">
              <w:t>mobile crane applications, capacities, configurations, safety hazards and control mechanisms</w:t>
            </w:r>
          </w:p>
          <w:p w:rsidR="00000000" w:rsidRPr="00521C3F" w:rsidP="00521C3F">
            <w:pPr>
              <w:pStyle w:val="ListBullet"/>
            </w:pPr>
            <w:r w:rsidRPr="00521C3F">
              <w:t>manufacturer specifications and instructions</w:t>
            </w:r>
          </w:p>
          <w:p w:rsidR="00000000" w:rsidRPr="00521C3F" w:rsidP="00521C3F">
            <w:pPr>
              <w:pStyle w:val="ListBullet"/>
            </w:pPr>
            <w:r w:rsidRPr="00521C3F">
              <w:t>operational work systems and equipment</w:t>
            </w:r>
          </w:p>
          <w:p w:rsidR="00000000" w:rsidRPr="00521C3F" w:rsidP="00521C3F">
            <w:pPr>
              <w:pStyle w:val="ListBullet"/>
            </w:pPr>
            <w:r w:rsidRPr="00521C3F">
              <w:t>problems that may occur during a lift, and associated actions that can be taken</w:t>
            </w:r>
            <w:r w:rsidRPr="00521C3F">
              <w:t xml:space="preserve"> to address these problems</w:t>
            </w:r>
          </w:p>
          <w:p w:rsidR="00000000" w:rsidRPr="00521C3F" w:rsidP="00521C3F">
            <w:pPr>
              <w:pStyle w:val="ListBullet"/>
            </w:pPr>
            <w:r w:rsidRPr="00521C3F">
              <w:t>relevant road rules, regulations, permit and licence requirements for mobile crane operation</w:t>
            </w:r>
          </w:p>
          <w:p w:rsidR="00000000" w:rsidRPr="00521C3F" w:rsidP="00521C3F">
            <w:pPr>
              <w:pStyle w:val="ListBullet"/>
            </w:pPr>
            <w:r w:rsidRPr="00521C3F">
              <w:t>relevant work health and safety (WHS)/occupational health and safety (OHS) and environmental procedures and regulations</w:t>
            </w:r>
          </w:p>
          <w:p w:rsidR="00000000" w:rsidRPr="00521C3F" w:rsidP="00521C3F">
            <w:pPr>
              <w:pStyle w:val="ListBullet"/>
            </w:pPr>
            <w:r w:rsidRPr="00521C3F">
              <w:t>risks and hazard</w:t>
            </w:r>
            <w:r w:rsidRPr="00521C3F">
              <w:t>s involved in mobile crane operations, and associated actions that can be taken to eliminate or minimise the risk</w:t>
            </w:r>
          </w:p>
          <w:p w:rsidR="00000000" w:rsidRPr="00521C3F" w:rsidP="00521C3F">
            <w:pPr>
              <w:pStyle w:val="ListBullet"/>
            </w:pPr>
            <w:r w:rsidRPr="00521C3F">
              <w:t>workplace procedures for operating a mobile crane at a worksite.</w:t>
            </w:r>
          </w:p>
        </w:tc>
      </w:tr>
    </w:tbl>
    <w:p w:rsidR="00000000" w:rsidRPr="00521C3F" w:rsidP="00521C3F">
      <w:pPr>
        <w:pStyle w:val="NoPaddingFontSize1"/>
      </w:pPr>
    </w:p>
    <w:p w:rsidR="00000000" w:rsidRPr="00521C3F" w:rsidP="00521C3F">
      <w:pPr>
        <w:pStyle w:val="AllowPageBreak"/>
      </w:pPr>
    </w:p>
    <w:p w:rsidR="00000000" w:rsidRPr="00521C3F" w:rsidP="00521C3F">
      <w:pPr>
        <w:pStyle w:val="Heading1"/>
      </w:pPr>
      <w:bookmarkStart w:id="4" w:name="O_1196303"/>
      <w:bookmarkEnd w:id="4"/>
      <w:r w:rsidRPr="00521C3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C3F" w:rsidP="00521C3F">
            <w:pPr>
              <w:pStyle w:val="BodyText"/>
            </w:pPr>
            <w:r w:rsidRPr="00521C3F">
              <w:t>Assessors must hold credential</w:t>
            </w:r>
            <w:r w:rsidRPr="00521C3F">
              <w:t xml:space="preserve">s specified within the Standards for Registered Training Organisations current at the time of assessment. </w:t>
            </w:r>
          </w:p>
          <w:p w:rsidR="00000000" w:rsidRPr="00521C3F" w:rsidP="00521C3F">
            <w:pPr>
              <w:pStyle w:val="BodyText"/>
            </w:pPr>
            <w:r w:rsidRPr="00521C3F">
              <w:t>Assessment must satisfy the Principles of Assessment and Rules of Evidence and all regulatory requirements included within the Standards for Register</w:t>
            </w:r>
            <w:r w:rsidRPr="00521C3F">
              <w:t>ed Training Organisations current at the time of assessment.</w:t>
            </w:r>
          </w:p>
          <w:p w:rsidR="00000000" w:rsidRPr="00521C3F" w:rsidP="00521C3F">
            <w:pPr>
              <w:pStyle w:val="BodyText"/>
            </w:pPr>
            <w:r w:rsidRPr="00521C3F">
              <w:t>Assessment must occur in workplace operational situations where it is appropriate to do so; where this is not appropriate, assessment must occur in simulated workplace operational situations that</w:t>
            </w:r>
            <w:r w:rsidRPr="00521C3F">
              <w:t xml:space="preserve"> replicate workplace conditions.</w:t>
            </w:r>
          </w:p>
          <w:p w:rsidR="00000000" w:rsidRPr="00521C3F" w:rsidP="00521C3F">
            <w:pPr>
              <w:pStyle w:val="BodyText"/>
            </w:pPr>
            <w:r w:rsidRPr="00521C3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21C3F" w:rsidP="00521C3F">
            <w:pPr>
              <w:pStyle w:val="BodyText"/>
            </w:pPr>
            <w:r w:rsidRPr="00521C3F">
              <w:t>Resources for assessment must include access to:</w:t>
            </w:r>
          </w:p>
          <w:p w:rsidR="00000000" w:rsidRPr="00521C3F" w:rsidP="00521C3F">
            <w:pPr>
              <w:pStyle w:val="ListBullet"/>
            </w:pPr>
            <w:r w:rsidRPr="00521C3F">
              <w:t>a ran</w:t>
            </w:r>
            <w:r w:rsidRPr="00521C3F">
              <w:t>ge of relevant exercises, case studies and/or simulations</w:t>
            </w:r>
          </w:p>
          <w:p w:rsidR="00000000" w:rsidRPr="00521C3F" w:rsidP="00521C3F">
            <w:pPr>
              <w:pStyle w:val="ListBullet"/>
            </w:pPr>
            <w:r w:rsidRPr="00521C3F">
              <w:t>mobile crane, of the type currently used in industry</w:t>
            </w:r>
          </w:p>
          <w:p w:rsidR="00000000" w:rsidRPr="00521C3F" w:rsidP="00521C3F">
            <w:pPr>
              <w:pStyle w:val="ListBullet"/>
            </w:pPr>
            <w:r w:rsidRPr="00521C3F">
              <w:t>relevant and appropriate materials, tools, equipment and personal protective equipment (PPE) currently used in industry</w:t>
            </w:r>
          </w:p>
          <w:p w:rsidR="00000000" w:rsidRPr="00521C3F" w:rsidP="00521C3F">
            <w:pPr>
              <w:pStyle w:val="ListBullet"/>
            </w:pPr>
            <w:r w:rsidRPr="00521C3F">
              <w:t>applicable documentation,</w:t>
            </w:r>
            <w:r w:rsidRPr="00521C3F">
              <w:t xml:space="preserve"> including legislation, regulations, codes of practice, workplace procedures and operation manuals.</w:t>
            </w:r>
          </w:p>
        </w:tc>
      </w:tr>
    </w:tbl>
    <w:p w:rsidR="00000000" w:rsidRPr="00521C3F" w:rsidP="00521C3F">
      <w:pPr>
        <w:pStyle w:val="NoPaddingFontSize1"/>
      </w:pPr>
    </w:p>
    <w:p w:rsidR="00000000" w:rsidRPr="00521C3F" w:rsidP="00521C3F">
      <w:pPr>
        <w:pStyle w:val="AllowPageBreak"/>
      </w:pPr>
    </w:p>
    <w:p w:rsidR="00000000" w:rsidRPr="00521C3F" w:rsidP="00521C3F">
      <w:pPr>
        <w:pStyle w:val="Heading1"/>
      </w:pPr>
      <w:bookmarkStart w:id="5" w:name="O_1196318"/>
      <w:bookmarkEnd w:id="5"/>
      <w:r w:rsidRPr="00521C3F">
        <w:t>Links</w:t>
      </w:r>
    </w:p>
    <w:p w:rsidR="00000000" w:rsidRPr="00521C3F" w:rsidP="00946E4F">
      <w:pPr>
        <w:pStyle w:val="BodyText"/>
      </w:pPr>
      <w:r w:rsidRPr="00521C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D207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21C3F" w:rsidP="00521C3F"/>
    <w:sectPr w:rsidSect="00521C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C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C3F" w:rsidRPr="00946E4F" w:rsidP="00946E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C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4F" w:rsidP="00521C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6E4F" w:rsidP="00521C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46E4F" w:rsidP="00521C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C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C3F" w:rsidRPr="00946E4F" w:rsidP="00946E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C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4F" w:rsidRPr="002D2AF8" w:rsidP="00521C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TLID3036 Lift and move load using a mobile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46E4F" w:rsidP="00521C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52E4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2A7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7EFB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C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C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C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C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C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C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C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C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C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C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C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C3F"/>
  </w:style>
  <w:style w:type="character" w:customStyle="1" w:styleId="Heading1Char">
    <w:name w:val="Heading 1 Char"/>
    <w:basedOn w:val="DefaultParagraphFont"/>
    <w:link w:val="Heading1"/>
    <w:rsid w:val="00521C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C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C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C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1C3F"/>
    <w:rPr>
      <w:b/>
      <w:spacing w:val="0"/>
    </w:rPr>
  </w:style>
  <w:style w:type="paragraph" w:styleId="ListBullet2">
    <w:name w:val="List Bullet 2"/>
    <w:basedOn w:val="List2"/>
    <w:rsid w:val="00521C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1C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C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1C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C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C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C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C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C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C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C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C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C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C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C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C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C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C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C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C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C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C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C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1C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C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C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1C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C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C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C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C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C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C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C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C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1C3F"/>
    <w:rPr>
      <w:i/>
    </w:rPr>
  </w:style>
  <w:style w:type="paragraph" w:styleId="Caption">
    <w:name w:val="caption"/>
    <w:basedOn w:val="BodyText"/>
    <w:next w:val="Normal"/>
    <w:qFormat/>
    <w:rsid w:val="00521C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C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C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C3F"/>
  </w:style>
  <w:style w:type="paragraph" w:styleId="TableofFigures">
    <w:name w:val="table of figures"/>
    <w:basedOn w:val="Normal"/>
    <w:next w:val="Normal"/>
    <w:semiHidden/>
    <w:rsid w:val="00521C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C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1C3F"/>
    <w:rPr>
      <w:rFonts w:ascii="Wingdings" w:hAnsi="Wingdings"/>
    </w:rPr>
  </w:style>
  <w:style w:type="paragraph" w:customStyle="1" w:styleId="TableHeading">
    <w:name w:val="Table Heading"/>
    <w:basedOn w:val="HeadingBase"/>
    <w:rsid w:val="00521C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C3F"/>
    <w:rPr>
      <w:color w:val="0033CC"/>
      <w:u w:val="none"/>
    </w:rPr>
  </w:style>
  <w:style w:type="paragraph" w:customStyle="1" w:styleId="BodyTextRight">
    <w:name w:val="Body Text Right"/>
    <w:basedOn w:val="BodyText"/>
    <w:rsid w:val="00521C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C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C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C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C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C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C3F"/>
    <w:rPr>
      <w:sz w:val="32"/>
    </w:rPr>
  </w:style>
  <w:style w:type="paragraph" w:customStyle="1" w:styleId="HeadingProcedure">
    <w:name w:val="Heading Procedure"/>
    <w:basedOn w:val="HeadingBase"/>
    <w:next w:val="Normal"/>
    <w:rsid w:val="00521C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C3F"/>
    <w:pPr>
      <w:spacing w:before="60" w:after="60"/>
    </w:pPr>
  </w:style>
  <w:style w:type="paragraph" w:styleId="ListContinue">
    <w:name w:val="List Continue"/>
    <w:basedOn w:val="List"/>
    <w:rsid w:val="00521C3F"/>
    <w:pPr>
      <w:ind w:firstLine="0"/>
    </w:pPr>
  </w:style>
  <w:style w:type="paragraph" w:customStyle="1" w:styleId="ListNote">
    <w:name w:val="List Note"/>
    <w:basedOn w:val="List"/>
    <w:rsid w:val="00521C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C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C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C3F"/>
    <w:rPr>
      <w:rFonts w:ascii="Courier New" w:hAnsi="Courier New"/>
    </w:rPr>
  </w:style>
  <w:style w:type="paragraph" w:customStyle="1" w:styleId="NoteBullet">
    <w:name w:val="Note Bullet"/>
    <w:basedOn w:val="Note"/>
    <w:rsid w:val="00521C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C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C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C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C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1C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C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C3F"/>
    <w:rPr>
      <w:b/>
      <w:smallCaps/>
    </w:rPr>
  </w:style>
  <w:style w:type="paragraph" w:customStyle="1" w:styleId="TableListNumber">
    <w:name w:val="Table List Number"/>
    <w:basedOn w:val="ListNumber"/>
    <w:rsid w:val="00521C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C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C3F"/>
    <w:pPr>
      <w:numPr>
        <w:numId w:val="9"/>
      </w:numPr>
    </w:pPr>
  </w:style>
  <w:style w:type="paragraph" w:customStyle="1" w:styleId="ListAlpha2">
    <w:name w:val="List Alpha 2"/>
    <w:basedOn w:val="List2"/>
    <w:rsid w:val="00521C3F"/>
    <w:pPr>
      <w:numPr>
        <w:numId w:val="8"/>
      </w:numPr>
    </w:pPr>
  </w:style>
  <w:style w:type="paragraph" w:styleId="List2">
    <w:name w:val="List 2"/>
    <w:basedOn w:val="BodyText"/>
    <w:rsid w:val="00521C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C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C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C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C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C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1C3F"/>
    <w:pPr>
      <w:numPr>
        <w:numId w:val="4"/>
      </w:numPr>
    </w:pPr>
  </w:style>
  <w:style w:type="paragraph" w:styleId="ListContinue2">
    <w:name w:val="List Continue 2"/>
    <w:basedOn w:val="List2"/>
    <w:rsid w:val="00521C3F"/>
    <w:pPr>
      <w:ind w:firstLine="0"/>
    </w:pPr>
  </w:style>
  <w:style w:type="paragraph" w:styleId="ListContinue3">
    <w:name w:val="List Continue 3"/>
    <w:basedOn w:val="List3"/>
    <w:rsid w:val="00521C3F"/>
    <w:pPr>
      <w:ind w:left="1021" w:firstLine="0"/>
    </w:pPr>
  </w:style>
  <w:style w:type="paragraph" w:styleId="ListContinue4">
    <w:name w:val="List Continue 4"/>
    <w:basedOn w:val="List4"/>
    <w:rsid w:val="00521C3F"/>
    <w:pPr>
      <w:ind w:firstLine="0"/>
    </w:pPr>
  </w:style>
  <w:style w:type="paragraph" w:styleId="ListContinue5">
    <w:name w:val="List Continue 5"/>
    <w:basedOn w:val="List5"/>
    <w:rsid w:val="00521C3F"/>
    <w:pPr>
      <w:ind w:firstLine="0"/>
    </w:pPr>
  </w:style>
  <w:style w:type="paragraph" w:styleId="ListNumber3">
    <w:name w:val="List Number 3"/>
    <w:basedOn w:val="List3"/>
    <w:rsid w:val="00521C3F"/>
    <w:pPr>
      <w:numPr>
        <w:numId w:val="5"/>
      </w:numPr>
    </w:pPr>
  </w:style>
  <w:style w:type="paragraph" w:styleId="ListNumber4">
    <w:name w:val="List Number 4"/>
    <w:basedOn w:val="List4"/>
    <w:rsid w:val="00521C3F"/>
    <w:pPr>
      <w:numPr>
        <w:numId w:val="6"/>
      </w:numPr>
    </w:pPr>
  </w:style>
  <w:style w:type="paragraph" w:styleId="ListNumber5">
    <w:name w:val="List Number 5"/>
    <w:basedOn w:val="List5"/>
    <w:rsid w:val="00521C3F"/>
    <w:pPr>
      <w:numPr>
        <w:numId w:val="7"/>
      </w:numPr>
    </w:pPr>
  </w:style>
  <w:style w:type="paragraph" w:styleId="BlockText">
    <w:name w:val="Block Text"/>
    <w:basedOn w:val="Normal"/>
    <w:rsid w:val="00521C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C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C3F"/>
    <w:rPr>
      <w:sz w:val="16"/>
      <w:vertAlign w:val="superscript"/>
    </w:rPr>
  </w:style>
  <w:style w:type="character" w:customStyle="1" w:styleId="Symbols">
    <w:name w:val="Symbols"/>
    <w:basedOn w:val="DefaultParagraphFont"/>
    <w:rsid w:val="00521C3F"/>
    <w:rPr>
      <w:rFonts w:ascii="Symbol" w:hAnsi="Symbol"/>
    </w:rPr>
  </w:style>
  <w:style w:type="character" w:customStyle="1" w:styleId="MenuOptions">
    <w:name w:val="Menu Options"/>
    <w:basedOn w:val="DefaultParagraphFont"/>
    <w:rsid w:val="00521C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C3F"/>
    <w:rPr>
      <w:b/>
    </w:rPr>
  </w:style>
  <w:style w:type="character" w:customStyle="1" w:styleId="Underlined">
    <w:name w:val="Underlined"/>
    <w:basedOn w:val="DefaultParagraphFont"/>
    <w:rsid w:val="00521C3F"/>
    <w:rPr>
      <w:u w:val="single"/>
    </w:rPr>
  </w:style>
  <w:style w:type="paragraph" w:customStyle="1" w:styleId="TableBodyTextRight">
    <w:name w:val="Table Body Text Right"/>
    <w:basedOn w:val="TableBodyText"/>
    <w:rsid w:val="00521C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C3F"/>
    <w:rPr>
      <w:sz w:val="18"/>
    </w:rPr>
  </w:style>
  <w:style w:type="paragraph" w:customStyle="1" w:styleId="BodySmallRight">
    <w:name w:val="Body Small Right"/>
    <w:basedOn w:val="BodyTextRight"/>
    <w:rsid w:val="00521C3F"/>
    <w:rPr>
      <w:sz w:val="18"/>
      <w:szCs w:val="18"/>
    </w:rPr>
  </w:style>
  <w:style w:type="paragraph" w:customStyle="1" w:styleId="MarginEdition">
    <w:name w:val="Margin Edition"/>
    <w:basedOn w:val="MarginNote"/>
    <w:rsid w:val="00521C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C3F"/>
    <w:rPr>
      <w:sz w:val="2"/>
      <w:szCs w:val="2"/>
    </w:rPr>
  </w:style>
  <w:style w:type="character" w:customStyle="1" w:styleId="Small">
    <w:name w:val="Small"/>
    <w:basedOn w:val="DefaultParagraphFont"/>
    <w:rsid w:val="00521C3F"/>
    <w:rPr>
      <w:sz w:val="16"/>
    </w:rPr>
  </w:style>
  <w:style w:type="paragraph" w:customStyle="1" w:styleId="WideTable">
    <w:name w:val="Wide Table"/>
    <w:basedOn w:val="Normal"/>
    <w:rsid w:val="00521C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C3F"/>
  </w:style>
  <w:style w:type="paragraph" w:styleId="Quote">
    <w:name w:val="Quote"/>
    <w:basedOn w:val="Heading1"/>
    <w:link w:val="QuoteChar"/>
    <w:qFormat/>
    <w:rsid w:val="00521C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C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C3F"/>
    <w:pPr>
      <w:pageBreakBefore/>
    </w:pPr>
  </w:style>
  <w:style w:type="paragraph" w:customStyle="1" w:styleId="Border">
    <w:name w:val="Border"/>
    <w:basedOn w:val="Normal"/>
    <w:qFormat/>
    <w:rsid w:val="00521C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C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C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C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C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C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C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C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C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C3F"/>
    <w:rPr>
      <w:u w:val="single"/>
    </w:rPr>
  </w:style>
  <w:style w:type="character" w:customStyle="1" w:styleId="BoldandItalics">
    <w:name w:val="Bold and Italics"/>
    <w:qFormat/>
    <w:rsid w:val="00521C3F"/>
    <w:rPr>
      <w:b/>
      <w:i/>
      <w:u w:val="none"/>
    </w:rPr>
  </w:style>
  <w:style w:type="paragraph" w:styleId="BalloonText">
    <w:name w:val="Balloon Text"/>
    <w:basedOn w:val="Normal"/>
    <w:link w:val="BalloonTextChar"/>
    <w:rsid w:val="00521C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C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C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C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C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C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C3F"/>
    <w:pPr>
      <w:spacing w:before="0" w:after="0"/>
    </w:pPr>
  </w:style>
  <w:style w:type="paragraph" w:customStyle="1" w:styleId="BodyTextBold">
    <w:name w:val="Body Text Bold"/>
    <w:basedOn w:val="BodyText"/>
    <w:qFormat/>
    <w:rsid w:val="00521C3F"/>
    <w:rPr>
      <w:b/>
    </w:rPr>
  </w:style>
  <w:style w:type="character" w:styleId="Hyperlink">
    <w:name w:val="Hyperlink"/>
    <w:basedOn w:val="DefaultParagraphFont"/>
    <w:uiPriority w:val="99"/>
    <w:unhideWhenUsed/>
    <w:rsid w:val="00946E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4030</Characters>
  <Application>Microsoft Office Word</Application>
  <DocSecurity>0</DocSecurity>
  <Lines>91</Lines>
  <Paragraphs>63</Paragraphs>
  <ScaleCrop>false</ScaleCrop>
  <Company>Author-it Software Corporation Ltd.</Company>
  <LinksUpToDate>false</LinksUpToDate>
  <CharactersWithSpaces>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TLID3036 Lift and move load using a mobile crane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