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A97" w:rsidP="00E61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TLID3031 Rig load</w:t>
      </w:r>
      <w:r>
        <w:fldChar w:fldCharType="end"/>
      </w:r>
    </w:p>
    <w:p w:rsidR="00E61A97" w:rsidP="00E61A97">
      <w:pPr>
        <w:pStyle w:val="Version"/>
        <w:sectPr w:rsidSect="00DF3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3F35" w:rsidP="00DF3F35">
      <w:pPr>
        <w:pStyle w:val="SuperHeading"/>
      </w:pPr>
      <w:r w:rsidRPr="00DF3F35">
        <w:t>TLID3031 Rig load</w:t>
      </w:r>
    </w:p>
    <w:p w:rsidR="00000000" w:rsidRPr="00DF3F35" w:rsidP="00DF3F35">
      <w:pPr>
        <w:pStyle w:val="Heading1"/>
      </w:pPr>
      <w:bookmarkStart w:id="1" w:name="O_1196352"/>
      <w:bookmarkEnd w:id="1"/>
      <w:r w:rsidRPr="00DF3F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Release 2.</w:t>
            </w:r>
            <w:r w:rsidRPr="00DF3F35">
              <w:t xml:space="preserve"> This is the second release of this unit of competency in the TLI Transport and Logistics Training Package.  </w:t>
            </w:r>
          </w:p>
          <w:p w:rsidR="00000000" w:rsidRPr="00DF3F35" w:rsidP="00DF3F35">
            <w:pPr>
              <w:pStyle w:val="ListBullet2"/>
            </w:pPr>
            <w:r w:rsidRPr="00DF3F35">
              <w:t>Minor changes to unit Application</w:t>
            </w:r>
          </w:p>
          <w:p w:rsidR="00000000" w:rsidRPr="00DF3F35" w:rsidP="00DF3F35">
            <w:pPr>
              <w:pStyle w:val="ListBullet2"/>
            </w:pPr>
            <w:r w:rsidRPr="00DF3F35">
              <w:t>Minor changes to Performance Criteria</w:t>
            </w:r>
          </w:p>
          <w:p w:rsidR="00000000" w:rsidRPr="00DF3F35" w:rsidP="00DF3F35">
            <w:pPr>
              <w:pStyle w:val="ListBullet2"/>
            </w:pPr>
            <w:r w:rsidRPr="00DF3F35">
              <w:t>Minor changes to Performance Evidence</w:t>
            </w:r>
          </w:p>
          <w:p w:rsidR="00000000" w:rsidRPr="00DF3F35" w:rsidP="00DF3F35">
            <w:pPr>
              <w:pStyle w:val="ListBullet2"/>
            </w:pPr>
            <w:r w:rsidRPr="00DF3F35">
              <w:t>Minor changes to Knowledg</w:t>
            </w:r>
            <w:r w:rsidRPr="00DF3F35">
              <w:t>e Evidence</w:t>
            </w:r>
          </w:p>
          <w:p w:rsidR="00000000" w:rsidP="00DF3F35">
            <w:pPr>
              <w:pStyle w:val="ListBullet2"/>
              <w:rPr>
                <w:lang w:val="en-NZ"/>
              </w:rPr>
            </w:pPr>
            <w:r w:rsidRPr="00DF3F35">
              <w:t>Minor changes to Assessment Conditions.</w:t>
            </w:r>
          </w:p>
        </w:tc>
      </w:tr>
      <w:tr w:rsidTr="00DF3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Release 1.</w:t>
            </w:r>
            <w:r w:rsidRPr="00DF3F35">
              <w:t xml:space="preserve"> This is the first release of this unit of competency in the TLI Transport and Logistics Training Package.</w:t>
            </w:r>
          </w:p>
        </w:tc>
      </w:tr>
    </w:tbl>
    <w:p w:rsidR="00E61A97" w:rsidP="00DF3F35">
      <w:pPr>
        <w:pStyle w:val="NoPaddingFontSize1"/>
      </w:pPr>
    </w:p>
    <w:p w:rsidR="00E61A97" w:rsidP="00DF3F35">
      <w:pPr>
        <w:pStyle w:val="NoPaddingFontSize1"/>
      </w:pPr>
    </w:p>
    <w:p w:rsidR="00000000" w:rsidRPr="00DF3F35" w:rsidP="00DF3F35">
      <w:pPr>
        <w:pStyle w:val="Heading1"/>
      </w:pPr>
      <w:bookmarkStart w:id="2" w:name="O_1196351"/>
      <w:bookmarkEnd w:id="2"/>
      <w:r w:rsidRPr="00DF3F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t>This unit involves the skills and knowledge required to rig load.</w:t>
            </w:r>
          </w:p>
          <w:p w:rsidR="00000000" w:rsidRPr="00DF3F35" w:rsidP="00DF3F35">
            <w:pPr>
              <w:pStyle w:val="BodyText"/>
            </w:pPr>
            <w:r w:rsidRPr="00DF3F35">
              <w:t>It includes preparing for load transfer, assessing lifting requirements, securing and detaching loads in preparation for lifting by a crane in accordance with relevant state and/or territory</w:t>
            </w:r>
            <w:r w:rsidRPr="00DF3F35">
              <w:t xml:space="preserve"> authority high-risk work licence requirements and regulations in a variety of operational contexts.</w:t>
            </w:r>
          </w:p>
          <w:p w:rsidR="00000000" w:rsidRPr="00DF3F35" w:rsidP="00DF3F35">
            <w:pPr>
              <w:pStyle w:val="BodyText"/>
            </w:pPr>
            <w:r w:rsidRPr="00DF3F35">
              <w:t xml:space="preserve">Work is performed with general supervision, and with duty of care responsibility for self and others in achieving the prescribed outcomes. </w:t>
            </w:r>
          </w:p>
          <w:p w:rsidR="00000000" w:rsidRPr="00DF3F35" w:rsidP="00DF3F35">
            <w:pPr>
              <w:pStyle w:val="BodyText"/>
            </w:pPr>
            <w:r w:rsidRPr="00DF3F35">
              <w:t>A person who ri</w:t>
            </w:r>
            <w:r w:rsidRPr="00DF3F35">
              <w:t>gs a load must hold a high-risk work licence.</w:t>
            </w:r>
          </w:p>
        </w:tc>
      </w:tr>
    </w:tbl>
    <w:p w:rsidR="00E61A97" w:rsidP="00DF3F35">
      <w:pPr>
        <w:pStyle w:val="NoPaddingFontSize1"/>
      </w:pPr>
    </w:p>
    <w:p w:rsidR="00E61A97" w:rsidP="00DF3F35">
      <w:pPr>
        <w:pStyle w:val="NoPaddingFontSize1"/>
      </w:pPr>
    </w:p>
    <w:p w:rsidR="00000000" w:rsidRPr="00DF3F35" w:rsidP="00DF3F35">
      <w:pPr>
        <w:pStyle w:val="Heading1"/>
      </w:pPr>
      <w:bookmarkStart w:id="3" w:name="O_1196350"/>
      <w:bookmarkEnd w:id="3"/>
      <w:r w:rsidRPr="00DF3F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t>Not applicable.</w:t>
            </w:r>
          </w:p>
        </w:tc>
      </w:tr>
    </w:tbl>
    <w:p w:rsidR="00E61A97" w:rsidP="00DF3F35">
      <w:pPr>
        <w:pStyle w:val="NoPaddingFontSize1"/>
      </w:pPr>
    </w:p>
    <w:p w:rsidR="00E61A97" w:rsidP="00DF3F35">
      <w:pPr>
        <w:pStyle w:val="NoPaddingFontSize1"/>
      </w:pPr>
    </w:p>
    <w:p w:rsidR="00000000" w:rsidRPr="00DF3F35" w:rsidP="00DF3F35">
      <w:pPr>
        <w:pStyle w:val="Heading1"/>
      </w:pPr>
      <w:bookmarkStart w:id="4" w:name="O_1196349"/>
      <w:bookmarkEnd w:id="4"/>
      <w:r w:rsidRPr="00DF3F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t>D – Load Handling</w:t>
            </w:r>
          </w:p>
        </w:tc>
      </w:tr>
    </w:tbl>
    <w:p w:rsidR="00E61A97" w:rsidP="00DF3F35">
      <w:pPr>
        <w:pStyle w:val="NoPaddingFontSize1"/>
      </w:pPr>
    </w:p>
    <w:p w:rsidR="00E61A97" w:rsidP="00DF3F35">
      <w:pPr>
        <w:pStyle w:val="NoPaddingFontSize1"/>
      </w:pPr>
    </w:p>
    <w:p w:rsidR="00000000" w:rsidRPr="00DF3F35" w:rsidP="00DF3F35">
      <w:pPr>
        <w:pStyle w:val="Heading1"/>
      </w:pPr>
      <w:bookmarkStart w:id="5" w:name="O_1196348"/>
      <w:bookmarkEnd w:id="5"/>
      <w:r w:rsidRPr="00DF3F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t>Not applicable.</w:t>
            </w:r>
          </w:p>
        </w:tc>
      </w:tr>
    </w:tbl>
    <w:p w:rsidR="00E61A97" w:rsidP="00DF3F35">
      <w:pPr>
        <w:pStyle w:val="NoPaddingFontSize1"/>
      </w:pPr>
    </w:p>
    <w:p w:rsidR="00E61A97" w:rsidP="00DF3F35">
      <w:pPr>
        <w:pStyle w:val="NoPaddingFontSize1"/>
      </w:pPr>
    </w:p>
    <w:p w:rsidR="00000000" w:rsidRPr="00DF3F35" w:rsidP="00DF3F35">
      <w:pPr>
        <w:pStyle w:val="Heading1"/>
      </w:pPr>
      <w:bookmarkStart w:id="6" w:name="O_1196347"/>
      <w:bookmarkEnd w:id="6"/>
      <w:r w:rsidRPr="00DF3F35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5"/>
        <w:gridCol w:w="2255"/>
        <w:gridCol w:w="581"/>
        <w:gridCol w:w="6349"/>
      </w:tblGrid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ELEMENTS</w:t>
            </w:r>
          </w:p>
        </w:tc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PERFORMANCE CRITERIA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Elements describe the essential outcomes.</w:t>
            </w:r>
          </w:p>
        </w:tc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Performance criteria describe the performance needed to demonstrate achievement of the element.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1</w:t>
            </w:r>
          </w:p>
        </w:tc>
        <w:tc>
          <w:tcPr>
            <w:tcW w:w="22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 xml:space="preserve">Prepare for load transfer 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1.1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Job hazards are identified and required actions taken to minimise, control or eliminate identified hazards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1.2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Working area is prepared and maintained in accordance with industry standards, codes of practice and workplace procedures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1.3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Unsafe work practices and/or faulty equipment are reported in accordance with workplace procedures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9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1.4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Correct personal protective equipment (PPE) is identified and worn in accordance with workplace procedures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2</w:t>
            </w:r>
          </w:p>
        </w:tc>
        <w:tc>
          <w:tcPr>
            <w:tcW w:w="22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Assess lifting requirements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2.1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Work operations plan is examined and lift requirements are identified, including job method and sequence, control measures and safety procedures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2.2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Coordination requirements with other site personnel are confirmed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2.3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Load mass, dimensions and centre of gravity are determined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1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2.4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Appropriate lifting gear, equipment and packing, including slings, ropes, shackles, eye bolts and spreaders, are selected from safety charts and safe</w:t>
            </w:r>
            <w:r w:rsidRPr="00DF3F35">
              <w:t xml:space="preserve"> working load (SWL)/working load limit (WLL) tags, and assembled and checked for serviceability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2.5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Damaged or worn items are tagged, rejected and reported to appropriate personnel for follow-up action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3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3</w:t>
            </w:r>
          </w:p>
        </w:tc>
        <w:tc>
          <w:tcPr>
            <w:tcW w:w="22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Secure load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3.1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Lifting and anchorage points are correctly identified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3.2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 xml:space="preserve">Lifting gear, equipment and packing are connected to load, and load is secured to lifting device in accordance with workplace and manufacturer </w:t>
            </w:r>
            <w:r w:rsidRPr="00DF3F35">
              <w:t>specifications, guidelines and regulatory requirements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3.3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Load is lifted, suspended off lifting plane and checked to ensure it is appropriately rigged and secured according to workplace procedures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3.4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Corrective actions are undertaken when prelimina</w:t>
            </w:r>
            <w:r w:rsidRPr="00DF3F35">
              <w:t>ry lift assessment reveals unacceptable operational situation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3.5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Tag lines are fixed to load in accordance with work operation plan and/or in consultation with other personnel, as required, due to wind conditions and site hazards and obstacles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3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4</w:t>
            </w:r>
          </w:p>
        </w:tc>
        <w:tc>
          <w:tcPr>
            <w:tcW w:w="22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rPr>
                <w:rStyle w:val="SpecialBold"/>
              </w:rPr>
              <w:t>Detach load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4.1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Slinging attachments are released from load without injury to personnel or damage to workplace operating procedures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4.2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t>Damage to load and site is identified and reported in accordance with workplace procedures</w:t>
            </w:r>
          </w:p>
        </w:tc>
      </w:tr>
      <w:tr w:rsidTr="00DF3F3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>
            <w:pPr>
              <w:pStyle w:val="BodyText"/>
              <w:keepLines w:val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35">
            <w:pPr>
              <w:pStyle w:val="BodyText"/>
              <w:rPr>
                <w:lang w:val="en-NZ"/>
              </w:rPr>
            </w:pPr>
            <w:r w:rsidRPr="00DF3F35">
              <w:rPr>
                <w:rStyle w:val="SpecialBold"/>
              </w:rPr>
              <w:t>4.3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t>Lifting gear, equipment and packing are maintained and stored in accordance with workplace and manufacturer specifications, guidelines and regulatory requirements</w:t>
            </w:r>
          </w:p>
        </w:tc>
      </w:tr>
    </w:tbl>
    <w:p w:rsidR="00E61A97" w:rsidP="00DF3F35">
      <w:pPr>
        <w:pStyle w:val="NoPaddingFontSize1"/>
      </w:pPr>
    </w:p>
    <w:p w:rsidR="00E61A97" w:rsidP="00DF3F35">
      <w:pPr>
        <w:pStyle w:val="NoPaddingFontSize1"/>
      </w:pPr>
    </w:p>
    <w:p w:rsidR="00000000" w:rsidRPr="00DF3F35" w:rsidP="00DF3F35">
      <w:pPr>
        <w:pStyle w:val="Heading1"/>
      </w:pPr>
      <w:bookmarkStart w:id="7" w:name="O_1196346"/>
      <w:bookmarkEnd w:id="7"/>
      <w:r w:rsidRPr="00DF3F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t>Foundation skills essential to performance are explicit in the performance criteria of this unit of competency.</w:t>
            </w:r>
          </w:p>
        </w:tc>
      </w:tr>
    </w:tbl>
    <w:p w:rsidR="00E61A97" w:rsidP="00DF3F35">
      <w:pPr>
        <w:pStyle w:val="NoPaddingFontSize1"/>
      </w:pPr>
    </w:p>
    <w:p w:rsidR="00E61A97" w:rsidP="00DF3F35">
      <w:pPr>
        <w:pStyle w:val="NoPaddingFontSize1"/>
      </w:pPr>
    </w:p>
    <w:p w:rsidR="00000000" w:rsidRPr="00DF3F35" w:rsidP="00DF3F35">
      <w:pPr>
        <w:pStyle w:val="Heading1"/>
      </w:pPr>
      <w:bookmarkStart w:id="8" w:name="O_1196345"/>
      <w:bookmarkEnd w:id="8"/>
      <w:r w:rsidRPr="00DF3F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t>Range is restricted to essential operating conditions and any other variables essential to the work e</w:t>
            </w:r>
            <w:r w:rsidRPr="00DF3F35">
              <w:t>nvironment.</w:t>
            </w:r>
          </w:p>
          <w:p w:rsidR="00000000" w:rsidRPr="00DF3F35" w:rsidP="00DF3F35">
            <w:pPr>
              <w:pStyle w:val="BodyText"/>
            </w:pPr>
            <w:r w:rsidRPr="00DF3F35">
              <w:t>Non-essential conditions can be found in the TLI Transport and Logistics Training Package Companion Volume Implementation Guide.</w:t>
            </w:r>
          </w:p>
        </w:tc>
      </w:tr>
    </w:tbl>
    <w:p w:rsidR="00E61A97" w:rsidP="00DF3F35">
      <w:pPr>
        <w:pStyle w:val="NoPaddingFontSize1"/>
      </w:pPr>
    </w:p>
    <w:p w:rsidR="00E61A97" w:rsidP="00DF3F35">
      <w:pPr>
        <w:pStyle w:val="NoPaddingFontSize1"/>
      </w:pPr>
    </w:p>
    <w:p w:rsidR="00000000" w:rsidRPr="00DF3F35" w:rsidP="00DF3F35">
      <w:pPr>
        <w:pStyle w:val="Heading1"/>
      </w:pPr>
      <w:bookmarkStart w:id="9" w:name="O_1196344"/>
      <w:bookmarkEnd w:id="9"/>
      <w:r w:rsidRPr="00DF3F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3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35" w:rsidP="00DF3F35">
            <w:pPr>
              <w:pStyle w:val="BodyText"/>
            </w:pPr>
            <w:r w:rsidRPr="00DF3F35">
              <w:t>This unit replaces and is equivalent to TLID3031A Rig load.</w:t>
            </w:r>
          </w:p>
        </w:tc>
      </w:tr>
    </w:tbl>
    <w:p w:rsidR="00E61A97" w:rsidP="00DF3F35">
      <w:pPr>
        <w:pStyle w:val="NoPaddingFontSize1"/>
      </w:pPr>
    </w:p>
    <w:p w:rsidR="00E61A97" w:rsidP="00DF3F35">
      <w:pPr>
        <w:pStyle w:val="NoPaddingFontSize1"/>
      </w:pPr>
    </w:p>
    <w:p w:rsidR="00000000" w:rsidRPr="00DF3F35" w:rsidP="00DF3F35">
      <w:pPr>
        <w:pStyle w:val="Heading1"/>
      </w:pPr>
      <w:bookmarkStart w:id="10" w:name="O_1196353"/>
      <w:bookmarkEnd w:id="10"/>
      <w:r w:rsidRPr="00DF3F35">
        <w:t>Links</w:t>
      </w:r>
    </w:p>
    <w:p w:rsidR="00000000" w:rsidRPr="00DF3F35" w:rsidP="00E61A97">
      <w:pPr>
        <w:pStyle w:val="BodyText"/>
      </w:pPr>
      <w:r w:rsidRPr="00DF3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6E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F3F35" w:rsidP="00DF3F35"/>
    <w:sectPr w:rsidSect="00DF3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35" w:rsidRPr="00E61A97" w:rsidP="00E61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97" w:rsidP="00DF3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A97" w:rsidP="00DF3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1A97" w:rsidP="00DF3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F35" w:rsidRPr="00E61A97" w:rsidP="00E61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97" w:rsidRPr="002D2AF8" w:rsidP="00DF3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TLID3031 Rig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61A97" w:rsidP="00DF3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B0D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18D7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F35"/>
  </w:style>
  <w:style w:type="character" w:customStyle="1" w:styleId="Heading1Char">
    <w:name w:val="Heading 1 Char"/>
    <w:basedOn w:val="DefaultParagraphFont"/>
    <w:link w:val="Heading1"/>
    <w:rsid w:val="00DF3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F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3F35"/>
    <w:rPr>
      <w:b/>
      <w:spacing w:val="0"/>
    </w:rPr>
  </w:style>
  <w:style w:type="paragraph" w:styleId="ListBullet2">
    <w:name w:val="List Bullet 2"/>
    <w:basedOn w:val="List2"/>
    <w:rsid w:val="00DF3F35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3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3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F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F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3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F35"/>
    <w:rPr>
      <w:i/>
    </w:rPr>
  </w:style>
  <w:style w:type="paragraph" w:styleId="Caption">
    <w:name w:val="caption"/>
    <w:basedOn w:val="BodyText"/>
    <w:next w:val="Normal"/>
    <w:qFormat/>
    <w:rsid w:val="00DF3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F35"/>
  </w:style>
  <w:style w:type="paragraph" w:styleId="TableofFigures">
    <w:name w:val="table of figures"/>
    <w:basedOn w:val="Normal"/>
    <w:next w:val="Normal"/>
    <w:semiHidden/>
    <w:rsid w:val="00DF3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F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3F35"/>
    <w:rPr>
      <w:rFonts w:ascii="Wingdings" w:hAnsi="Wingdings"/>
    </w:rPr>
  </w:style>
  <w:style w:type="paragraph" w:customStyle="1" w:styleId="TableHeading">
    <w:name w:val="Table Heading"/>
    <w:basedOn w:val="HeadingBase"/>
    <w:rsid w:val="00DF3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F35"/>
    <w:rPr>
      <w:color w:val="0033CC"/>
      <w:u w:val="none"/>
    </w:rPr>
  </w:style>
  <w:style w:type="paragraph" w:customStyle="1" w:styleId="BodyTextRight">
    <w:name w:val="Body Text Right"/>
    <w:basedOn w:val="BodyText"/>
    <w:rsid w:val="00DF3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F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F35"/>
    <w:rPr>
      <w:sz w:val="32"/>
    </w:rPr>
  </w:style>
  <w:style w:type="paragraph" w:customStyle="1" w:styleId="HeadingProcedure">
    <w:name w:val="Heading Procedure"/>
    <w:basedOn w:val="HeadingBase"/>
    <w:next w:val="Normal"/>
    <w:rsid w:val="00DF3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F35"/>
    <w:pPr>
      <w:spacing w:before="60" w:after="60"/>
    </w:pPr>
  </w:style>
  <w:style w:type="paragraph" w:styleId="ListContinue">
    <w:name w:val="List Continue"/>
    <w:basedOn w:val="List"/>
    <w:rsid w:val="00DF3F35"/>
    <w:pPr>
      <w:ind w:firstLine="0"/>
    </w:pPr>
  </w:style>
  <w:style w:type="paragraph" w:customStyle="1" w:styleId="ListNote">
    <w:name w:val="List Note"/>
    <w:basedOn w:val="List"/>
    <w:rsid w:val="00DF3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F35"/>
    <w:rPr>
      <w:rFonts w:ascii="Courier New" w:hAnsi="Courier New"/>
    </w:rPr>
  </w:style>
  <w:style w:type="paragraph" w:customStyle="1" w:styleId="NoteBullet">
    <w:name w:val="Note Bullet"/>
    <w:basedOn w:val="Note"/>
    <w:rsid w:val="00DF3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F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F35"/>
    <w:rPr>
      <w:b/>
      <w:smallCaps/>
    </w:rPr>
  </w:style>
  <w:style w:type="paragraph" w:customStyle="1" w:styleId="TableListNumber">
    <w:name w:val="Table List Number"/>
    <w:basedOn w:val="ListNumber"/>
    <w:rsid w:val="00DF3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F35"/>
    <w:pPr>
      <w:numPr>
        <w:numId w:val="8"/>
      </w:numPr>
    </w:pPr>
  </w:style>
  <w:style w:type="paragraph" w:customStyle="1" w:styleId="ListAlpha2">
    <w:name w:val="List Alpha 2"/>
    <w:basedOn w:val="List2"/>
    <w:rsid w:val="00DF3F35"/>
    <w:pPr>
      <w:numPr>
        <w:numId w:val="7"/>
      </w:numPr>
    </w:pPr>
  </w:style>
  <w:style w:type="paragraph" w:styleId="List2">
    <w:name w:val="List 2"/>
    <w:basedOn w:val="BodyText"/>
    <w:rsid w:val="00DF3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F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F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3F35"/>
    <w:pPr>
      <w:numPr>
        <w:numId w:val="3"/>
      </w:numPr>
    </w:pPr>
  </w:style>
  <w:style w:type="paragraph" w:styleId="ListContinue2">
    <w:name w:val="List Continue 2"/>
    <w:basedOn w:val="List2"/>
    <w:rsid w:val="00DF3F35"/>
    <w:pPr>
      <w:ind w:firstLine="0"/>
    </w:pPr>
  </w:style>
  <w:style w:type="paragraph" w:styleId="ListContinue3">
    <w:name w:val="List Continue 3"/>
    <w:basedOn w:val="List3"/>
    <w:rsid w:val="00DF3F35"/>
    <w:pPr>
      <w:ind w:left="1021" w:firstLine="0"/>
    </w:pPr>
  </w:style>
  <w:style w:type="paragraph" w:styleId="ListContinue4">
    <w:name w:val="List Continue 4"/>
    <w:basedOn w:val="List4"/>
    <w:rsid w:val="00DF3F35"/>
    <w:pPr>
      <w:ind w:firstLine="0"/>
    </w:pPr>
  </w:style>
  <w:style w:type="paragraph" w:styleId="ListContinue5">
    <w:name w:val="List Continue 5"/>
    <w:basedOn w:val="List5"/>
    <w:rsid w:val="00DF3F35"/>
    <w:pPr>
      <w:ind w:firstLine="0"/>
    </w:pPr>
  </w:style>
  <w:style w:type="paragraph" w:styleId="ListNumber3">
    <w:name w:val="List Number 3"/>
    <w:basedOn w:val="List3"/>
    <w:rsid w:val="00DF3F35"/>
    <w:pPr>
      <w:numPr>
        <w:numId w:val="4"/>
      </w:numPr>
    </w:pPr>
  </w:style>
  <w:style w:type="paragraph" w:styleId="ListNumber4">
    <w:name w:val="List Number 4"/>
    <w:basedOn w:val="List4"/>
    <w:rsid w:val="00DF3F35"/>
    <w:pPr>
      <w:numPr>
        <w:numId w:val="5"/>
      </w:numPr>
    </w:pPr>
  </w:style>
  <w:style w:type="paragraph" w:styleId="ListNumber5">
    <w:name w:val="List Number 5"/>
    <w:basedOn w:val="List5"/>
    <w:rsid w:val="00DF3F35"/>
    <w:pPr>
      <w:numPr>
        <w:numId w:val="6"/>
      </w:numPr>
    </w:pPr>
  </w:style>
  <w:style w:type="paragraph" w:styleId="BlockText">
    <w:name w:val="Block Text"/>
    <w:basedOn w:val="Normal"/>
    <w:rsid w:val="00DF3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F35"/>
    <w:rPr>
      <w:sz w:val="16"/>
      <w:vertAlign w:val="superscript"/>
    </w:rPr>
  </w:style>
  <w:style w:type="character" w:customStyle="1" w:styleId="Symbols">
    <w:name w:val="Symbols"/>
    <w:basedOn w:val="DefaultParagraphFont"/>
    <w:rsid w:val="00DF3F35"/>
    <w:rPr>
      <w:rFonts w:ascii="Symbol" w:hAnsi="Symbol"/>
    </w:rPr>
  </w:style>
  <w:style w:type="character" w:customStyle="1" w:styleId="MenuOptions">
    <w:name w:val="Menu Options"/>
    <w:basedOn w:val="DefaultParagraphFont"/>
    <w:rsid w:val="00DF3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F35"/>
    <w:rPr>
      <w:b/>
    </w:rPr>
  </w:style>
  <w:style w:type="character" w:customStyle="1" w:styleId="Underlined">
    <w:name w:val="Underlined"/>
    <w:basedOn w:val="DefaultParagraphFont"/>
    <w:rsid w:val="00DF3F35"/>
    <w:rPr>
      <w:u w:val="single"/>
    </w:rPr>
  </w:style>
  <w:style w:type="paragraph" w:customStyle="1" w:styleId="TableBodyTextRight">
    <w:name w:val="Table Body Text Right"/>
    <w:basedOn w:val="TableBodyText"/>
    <w:rsid w:val="00DF3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F35"/>
    <w:rPr>
      <w:sz w:val="18"/>
    </w:rPr>
  </w:style>
  <w:style w:type="paragraph" w:customStyle="1" w:styleId="BodySmallRight">
    <w:name w:val="Body Small Right"/>
    <w:basedOn w:val="BodyTextRight"/>
    <w:rsid w:val="00DF3F35"/>
    <w:rPr>
      <w:sz w:val="18"/>
      <w:szCs w:val="18"/>
    </w:rPr>
  </w:style>
  <w:style w:type="paragraph" w:customStyle="1" w:styleId="MarginEdition">
    <w:name w:val="Margin Edition"/>
    <w:basedOn w:val="MarginNote"/>
    <w:rsid w:val="00DF3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F35"/>
    <w:rPr>
      <w:sz w:val="2"/>
      <w:szCs w:val="2"/>
    </w:rPr>
  </w:style>
  <w:style w:type="character" w:customStyle="1" w:styleId="Small">
    <w:name w:val="Small"/>
    <w:basedOn w:val="DefaultParagraphFont"/>
    <w:rsid w:val="00DF3F35"/>
    <w:rPr>
      <w:sz w:val="16"/>
    </w:rPr>
  </w:style>
  <w:style w:type="paragraph" w:customStyle="1" w:styleId="WideTable">
    <w:name w:val="Wide Table"/>
    <w:basedOn w:val="Normal"/>
    <w:rsid w:val="00DF3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F35"/>
  </w:style>
  <w:style w:type="paragraph" w:styleId="Quote">
    <w:name w:val="Quote"/>
    <w:basedOn w:val="Heading1"/>
    <w:link w:val="QuoteChar"/>
    <w:qFormat/>
    <w:rsid w:val="00DF3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F35"/>
    <w:pPr>
      <w:pageBreakBefore/>
    </w:pPr>
  </w:style>
  <w:style w:type="paragraph" w:customStyle="1" w:styleId="Border">
    <w:name w:val="Border"/>
    <w:basedOn w:val="Normal"/>
    <w:qFormat/>
    <w:rsid w:val="00DF3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F35"/>
    <w:rPr>
      <w:u w:val="single"/>
    </w:rPr>
  </w:style>
  <w:style w:type="character" w:customStyle="1" w:styleId="BoldandItalics">
    <w:name w:val="Bold and Italics"/>
    <w:qFormat/>
    <w:rsid w:val="00DF3F35"/>
    <w:rPr>
      <w:b/>
      <w:i/>
      <w:u w:val="none"/>
    </w:rPr>
  </w:style>
  <w:style w:type="paragraph" w:styleId="BalloonText">
    <w:name w:val="Balloon Text"/>
    <w:basedOn w:val="Normal"/>
    <w:link w:val="BalloonTextChar"/>
    <w:rsid w:val="00DF3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F35"/>
    <w:pPr>
      <w:spacing w:before="0" w:after="0"/>
    </w:pPr>
  </w:style>
  <w:style w:type="paragraph" w:customStyle="1" w:styleId="BodyTextBold">
    <w:name w:val="Body Text Bold"/>
    <w:basedOn w:val="BodyText"/>
    <w:qFormat/>
    <w:rsid w:val="00DF3F35"/>
    <w:rPr>
      <w:b/>
    </w:rPr>
  </w:style>
  <w:style w:type="character" w:styleId="Hyperlink">
    <w:name w:val="Hyperlink"/>
    <w:basedOn w:val="DefaultParagraphFont"/>
    <w:uiPriority w:val="99"/>
    <w:unhideWhenUsed/>
    <w:rsid w:val="00E61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3858</Characters>
  <Application>Microsoft Office Word</Application>
  <DocSecurity>0</DocSecurity>
  <Lines>175</Lines>
  <Paragraphs>95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TLID3031 Rig load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