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8E6" w:rsidP="006228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TLID3031 Rig load</w:t>
      </w:r>
      <w:r>
        <w:fldChar w:fldCharType="end"/>
      </w:r>
    </w:p>
    <w:p w:rsidR="006228E6" w:rsidP="006228E6">
      <w:pPr>
        <w:pStyle w:val="Version"/>
        <w:sectPr w:rsidSect="007207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07E1" w:rsidP="007207E1">
      <w:pPr>
        <w:pStyle w:val="SuperHeading"/>
      </w:pPr>
      <w:r w:rsidRPr="007207E1">
        <w:t>TLID3031 Rig load</w:t>
      </w:r>
    </w:p>
    <w:p w:rsidR="00000000" w:rsidRPr="007207E1" w:rsidP="007207E1">
      <w:pPr>
        <w:pStyle w:val="Heading1"/>
      </w:pPr>
      <w:bookmarkStart w:id="1" w:name="O_1196352"/>
      <w:bookmarkEnd w:id="1"/>
      <w:r w:rsidRPr="007207E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rPr>
                <w:rStyle w:val="SpecialBold"/>
              </w:rPr>
              <w:t>Release 2.</w:t>
            </w:r>
            <w:r w:rsidRPr="007207E1">
              <w:t xml:space="preserve"> This is the second release of this unit of competency in the TLI Transport and Logistics Training Package.  </w:t>
            </w:r>
          </w:p>
          <w:p w:rsidR="00000000" w:rsidRPr="007207E1" w:rsidP="007207E1">
            <w:pPr>
              <w:pStyle w:val="ListBullet2"/>
            </w:pPr>
            <w:r w:rsidRPr="007207E1">
              <w:t>Minor changes to unit Application</w:t>
            </w:r>
          </w:p>
          <w:p w:rsidR="00000000" w:rsidRPr="007207E1" w:rsidP="007207E1">
            <w:pPr>
              <w:pStyle w:val="ListBullet2"/>
            </w:pPr>
            <w:r w:rsidRPr="007207E1">
              <w:t>Minor changes to Performance Criteria</w:t>
            </w:r>
          </w:p>
          <w:p w:rsidR="00000000" w:rsidRPr="007207E1" w:rsidP="007207E1">
            <w:pPr>
              <w:pStyle w:val="ListBullet2"/>
            </w:pPr>
            <w:r w:rsidRPr="007207E1">
              <w:t>Minor changes to Performance Evidence</w:t>
            </w:r>
          </w:p>
          <w:p w:rsidR="00000000" w:rsidRPr="007207E1" w:rsidP="007207E1">
            <w:pPr>
              <w:pStyle w:val="ListBullet2"/>
            </w:pPr>
            <w:r w:rsidRPr="007207E1">
              <w:t>Minor changes to Knowledg</w:t>
            </w:r>
            <w:r w:rsidRPr="007207E1">
              <w:t>e Evidence</w:t>
            </w:r>
          </w:p>
          <w:p w:rsidR="00000000" w:rsidP="007207E1">
            <w:pPr>
              <w:pStyle w:val="ListBullet2"/>
              <w:rPr>
                <w:lang w:val="en-NZ"/>
              </w:rPr>
            </w:pPr>
            <w:r w:rsidRPr="007207E1">
              <w:t>Minor changes to Assessment Conditions.</w:t>
            </w:r>
          </w:p>
        </w:tc>
      </w:tr>
      <w:tr w:rsidTr="00720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rPr>
                <w:rStyle w:val="SpecialBold"/>
              </w:rPr>
              <w:t>Release 1.</w:t>
            </w:r>
            <w:r w:rsidRPr="007207E1">
              <w:t xml:space="preserve"> This is the first release of this unit of competency in the TLI Transport and Logistics Training Package.</w:t>
            </w:r>
          </w:p>
        </w:tc>
      </w:tr>
    </w:tbl>
    <w:p w:rsidR="006228E6" w:rsidP="007207E1">
      <w:pPr>
        <w:pStyle w:val="NoPaddingFontSize1"/>
      </w:pPr>
    </w:p>
    <w:p w:rsidR="006228E6" w:rsidP="007207E1">
      <w:pPr>
        <w:pStyle w:val="NoPaddingFontSize1"/>
      </w:pPr>
    </w:p>
    <w:p w:rsidR="00000000" w:rsidRPr="007207E1" w:rsidP="007207E1">
      <w:pPr>
        <w:pStyle w:val="Heading1"/>
      </w:pPr>
      <w:bookmarkStart w:id="2" w:name="O_1196351"/>
      <w:bookmarkEnd w:id="2"/>
      <w:r w:rsidRPr="007207E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t>This unit involves the skills and knowledge re</w:t>
            </w:r>
            <w:r w:rsidRPr="007207E1">
              <w:t>quired to rig load.</w:t>
            </w:r>
          </w:p>
          <w:p w:rsidR="00000000" w:rsidRPr="007207E1" w:rsidP="007207E1">
            <w:pPr>
              <w:pStyle w:val="BodyText"/>
            </w:pPr>
            <w:r w:rsidRPr="007207E1">
              <w:t>It includes preparing for load transfer, assessing lifting requirements, securing and detaching loads in preparation for lifting by a crane in accordance with relevant state and/or territory authority high-risk work licence requirements</w:t>
            </w:r>
            <w:r w:rsidRPr="007207E1">
              <w:t xml:space="preserve"> and regulations in a variety of operational contexts.</w:t>
            </w:r>
          </w:p>
          <w:p w:rsidR="00000000" w:rsidRPr="007207E1" w:rsidP="007207E1">
            <w:pPr>
              <w:pStyle w:val="BodyText"/>
            </w:pPr>
            <w:r w:rsidRPr="007207E1">
              <w:t xml:space="preserve">Work is performed with general supervision, and with duty of care responsibility for self and others in achieving the prescribed outcomes. </w:t>
            </w:r>
          </w:p>
          <w:p w:rsidR="00000000" w:rsidRPr="007207E1" w:rsidP="007207E1">
            <w:pPr>
              <w:pStyle w:val="BodyText"/>
            </w:pPr>
            <w:r w:rsidRPr="007207E1">
              <w:t>A person who rigs a load must hold a high-risk work licence.</w:t>
            </w:r>
          </w:p>
        </w:tc>
      </w:tr>
    </w:tbl>
    <w:p w:rsidR="006228E6" w:rsidP="007207E1">
      <w:pPr>
        <w:pStyle w:val="NoPaddingFontSize1"/>
      </w:pPr>
    </w:p>
    <w:p w:rsidR="006228E6" w:rsidP="007207E1">
      <w:pPr>
        <w:pStyle w:val="NoPaddingFontSize1"/>
      </w:pPr>
    </w:p>
    <w:p w:rsidR="00000000" w:rsidRPr="007207E1" w:rsidP="007207E1">
      <w:pPr>
        <w:pStyle w:val="Heading1"/>
      </w:pPr>
      <w:bookmarkStart w:id="3" w:name="O_1196350"/>
      <w:bookmarkEnd w:id="3"/>
      <w:r w:rsidRPr="007207E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t>Not applicable.</w:t>
            </w:r>
          </w:p>
        </w:tc>
      </w:tr>
    </w:tbl>
    <w:p w:rsidR="006228E6" w:rsidP="007207E1">
      <w:pPr>
        <w:pStyle w:val="NoPaddingFontSize1"/>
      </w:pPr>
    </w:p>
    <w:p w:rsidR="006228E6" w:rsidP="007207E1">
      <w:pPr>
        <w:pStyle w:val="NoPaddingFontSize1"/>
      </w:pPr>
    </w:p>
    <w:p w:rsidR="00000000" w:rsidRPr="007207E1" w:rsidP="007207E1">
      <w:pPr>
        <w:pStyle w:val="Heading1"/>
      </w:pPr>
      <w:bookmarkStart w:id="4" w:name="O_1196349"/>
      <w:bookmarkEnd w:id="4"/>
      <w:r w:rsidRPr="007207E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t>D – Load Handling</w:t>
            </w:r>
          </w:p>
        </w:tc>
      </w:tr>
    </w:tbl>
    <w:p w:rsidR="006228E6" w:rsidP="007207E1">
      <w:pPr>
        <w:pStyle w:val="NoPaddingFontSize1"/>
      </w:pPr>
    </w:p>
    <w:p w:rsidR="006228E6" w:rsidP="007207E1">
      <w:pPr>
        <w:pStyle w:val="NoPaddingFontSize1"/>
      </w:pPr>
    </w:p>
    <w:p w:rsidR="00000000" w:rsidRPr="007207E1" w:rsidP="007207E1">
      <w:pPr>
        <w:pStyle w:val="Heading1"/>
      </w:pPr>
      <w:bookmarkStart w:id="5" w:name="O_1196348"/>
      <w:bookmarkEnd w:id="5"/>
      <w:r w:rsidRPr="007207E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t>Not applicable.</w:t>
            </w:r>
          </w:p>
        </w:tc>
      </w:tr>
    </w:tbl>
    <w:p w:rsidR="006228E6" w:rsidP="007207E1">
      <w:pPr>
        <w:pStyle w:val="NoPaddingFontSize1"/>
      </w:pPr>
    </w:p>
    <w:p w:rsidR="006228E6" w:rsidP="007207E1">
      <w:pPr>
        <w:pStyle w:val="NoPaddingFontSize1"/>
      </w:pPr>
    </w:p>
    <w:p w:rsidR="00000000" w:rsidRPr="007207E1" w:rsidP="007207E1">
      <w:pPr>
        <w:pStyle w:val="Heading1"/>
      </w:pPr>
      <w:bookmarkStart w:id="6" w:name="O_1196347"/>
      <w:bookmarkEnd w:id="6"/>
      <w:r w:rsidRPr="007207E1">
        <w:t>Elements and Performance Criteria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5"/>
        <w:gridCol w:w="2255"/>
        <w:gridCol w:w="581"/>
        <w:gridCol w:w="6349"/>
      </w:tblGrid>
      <w:tr w:rsidTr="007207E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rPr>
                <w:rStyle w:val="SpecialBold"/>
              </w:rPr>
              <w:t>ELEMENTS</w:t>
            </w:r>
          </w:p>
        </w:tc>
        <w:tc>
          <w:tcPr>
            <w:tcW w:w="69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rPr>
                <w:rStyle w:val="SpecialBold"/>
              </w:rPr>
              <w:t>PERFORMANCE CRITERIA</w:t>
            </w:r>
          </w:p>
        </w:tc>
      </w:tr>
      <w:tr w:rsidTr="007207E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t>Elements describe the essential outcomes.</w:t>
            </w:r>
          </w:p>
        </w:tc>
        <w:tc>
          <w:tcPr>
            <w:tcW w:w="69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t>Performance criteria describe the performance needed to demonstrate achievement of the element.</w:t>
            </w:r>
          </w:p>
        </w:tc>
      </w:tr>
      <w:tr w:rsidTr="007207E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rPr>
                <w:rStyle w:val="SpecialBold"/>
              </w:rPr>
              <w:t>1</w:t>
            </w:r>
          </w:p>
        </w:tc>
        <w:tc>
          <w:tcPr>
            <w:tcW w:w="22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rPr>
                <w:rStyle w:val="SpecialBold"/>
              </w:rPr>
              <w:t xml:space="preserve">Prepare for load transfer 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rPr>
                <w:rStyle w:val="SpecialBold"/>
              </w:rPr>
              <w:t>1.1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t>Job hazards are identified and required actions taken to minimise, control or elim</w:t>
            </w:r>
            <w:r w:rsidRPr="007207E1">
              <w:t>inate identified hazards</w:t>
            </w:r>
          </w:p>
        </w:tc>
      </w:tr>
      <w:tr w:rsidTr="007207E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rPr>
                <w:rStyle w:val="SpecialBold"/>
              </w:rPr>
              <w:t>1.2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t>Working area is prepared and maintained in accordance with industry standards, codes of practice and workplace procedures</w:t>
            </w:r>
          </w:p>
        </w:tc>
      </w:tr>
      <w:tr w:rsidTr="007207E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3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rPr>
                <w:rStyle w:val="SpecialBold"/>
              </w:rPr>
              <w:t>1.3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t>Unsafe work practices and/or faulty equipment are reported in accordance with workplace procedures</w:t>
            </w:r>
          </w:p>
        </w:tc>
      </w:tr>
      <w:tr w:rsidTr="007207E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9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rPr>
                <w:rStyle w:val="SpecialBold"/>
              </w:rPr>
              <w:t>1.4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t>Correct personal protective equipment (PPE) is identified and worn in accordance with workplace procedures</w:t>
            </w:r>
          </w:p>
        </w:tc>
      </w:tr>
      <w:tr w:rsidTr="007207E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rPr>
                <w:rStyle w:val="SpecialBold"/>
              </w:rPr>
              <w:t>2</w:t>
            </w:r>
          </w:p>
        </w:tc>
        <w:tc>
          <w:tcPr>
            <w:tcW w:w="22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rPr>
                <w:rStyle w:val="SpecialBold"/>
              </w:rPr>
              <w:t>Assess lifting requirements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rPr>
                <w:rStyle w:val="SpecialBold"/>
              </w:rPr>
              <w:t>2.1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t>Work operations plan is examined and lift requirements are identified, including job method and sequence, control measures and safety procedures</w:t>
            </w:r>
          </w:p>
        </w:tc>
      </w:tr>
      <w:tr w:rsidTr="007207E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rPr>
                <w:rStyle w:val="SpecialBold"/>
              </w:rPr>
              <w:t>2.2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t>Coordination requirements with other site personnel are confirmed</w:t>
            </w:r>
          </w:p>
        </w:tc>
      </w:tr>
      <w:tr w:rsidTr="007207E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rPr>
                <w:rStyle w:val="SpecialBold"/>
              </w:rPr>
              <w:t>2.3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t>Load mass, dimensions and centre of gravity are determined</w:t>
            </w:r>
          </w:p>
        </w:tc>
      </w:tr>
      <w:tr w:rsidTr="007207E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1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rPr>
                <w:rStyle w:val="SpecialBold"/>
              </w:rPr>
              <w:t>2.4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t xml:space="preserve">Appropriate lifting gear, equipment and packing, including slings, ropes, shackles, eye bolts and spreaders, are selected from safety charts and safe working </w:t>
            </w:r>
            <w:r w:rsidRPr="007207E1">
              <w:t>load (SWL)/working load limit (WLL) tags, and assembled and checked for serviceability</w:t>
            </w:r>
          </w:p>
        </w:tc>
      </w:tr>
      <w:tr w:rsidTr="007207E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rPr>
                <w:rStyle w:val="SpecialBold"/>
              </w:rPr>
              <w:t>2.5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t>Damaged or worn items are tagged, rejected and reported to appropriate personnel for follow-up action</w:t>
            </w:r>
          </w:p>
        </w:tc>
      </w:tr>
      <w:tr w:rsidTr="007207E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7"/>
        </w:trPr>
        <w:tc>
          <w:tcPr>
            <w:tcW w:w="3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rPr>
                <w:rStyle w:val="SpecialBold"/>
              </w:rPr>
              <w:t>3</w:t>
            </w:r>
          </w:p>
        </w:tc>
        <w:tc>
          <w:tcPr>
            <w:tcW w:w="22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rPr>
                <w:rStyle w:val="SpecialBold"/>
              </w:rPr>
              <w:t>Secure load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rPr>
                <w:rStyle w:val="SpecialBold"/>
              </w:rPr>
              <w:t>3.1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t>Lifting and anchorage points are correctly identified</w:t>
            </w:r>
          </w:p>
        </w:tc>
      </w:tr>
      <w:tr w:rsidTr="007207E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rPr>
                <w:rStyle w:val="SpecialBold"/>
              </w:rPr>
              <w:t>3.2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t xml:space="preserve">Lifting gear, equipment and packing are connected to load, and load is secured to lifting device in accordance with workplace and manufacturer specifications, </w:t>
            </w:r>
            <w:r w:rsidRPr="007207E1">
              <w:t>guidelines and regulatory requirements</w:t>
            </w:r>
          </w:p>
        </w:tc>
      </w:tr>
      <w:tr w:rsidTr="007207E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rPr>
                <w:rStyle w:val="SpecialBold"/>
              </w:rPr>
              <w:t>3.3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t>Load is lifted, suspended off lifting plane and checked to ensure it is appropriately rigged and secured according to workplace procedures</w:t>
            </w:r>
          </w:p>
        </w:tc>
      </w:tr>
      <w:tr w:rsidTr="007207E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rPr>
                <w:rStyle w:val="SpecialBold"/>
              </w:rPr>
              <w:t>3.4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t>Corrective actions are undertaken when preliminary lift assessme</w:t>
            </w:r>
            <w:r w:rsidRPr="007207E1">
              <w:t>nt reveals unacceptable operational situation</w:t>
            </w:r>
          </w:p>
        </w:tc>
      </w:tr>
      <w:tr w:rsidTr="007207E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rPr>
                <w:rStyle w:val="SpecialBold"/>
              </w:rPr>
              <w:t>3.5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t>Tag lines are fixed to load in accordance with work operation plan and/or in consultation with other personnel, as required, due to wind conditions and site hazards and obstacles</w:t>
            </w:r>
          </w:p>
        </w:tc>
      </w:tr>
      <w:tr w:rsidTr="007207E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3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rPr>
                <w:rStyle w:val="SpecialBold"/>
              </w:rPr>
              <w:t>4</w:t>
            </w:r>
          </w:p>
        </w:tc>
        <w:tc>
          <w:tcPr>
            <w:tcW w:w="22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rPr>
                <w:rStyle w:val="SpecialBold"/>
              </w:rPr>
              <w:t>Detach load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rPr>
                <w:rStyle w:val="SpecialBold"/>
              </w:rPr>
              <w:t>4.1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t>Slinging attachments are released from load without injury to personnel or damage to workplace operating procedures</w:t>
            </w:r>
          </w:p>
        </w:tc>
      </w:tr>
      <w:tr w:rsidTr="007207E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rPr>
                <w:rStyle w:val="SpecialBold"/>
              </w:rPr>
              <w:t>4.2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t>Damage to load and site is identified and reported in accordance with workplace procedures</w:t>
            </w:r>
          </w:p>
        </w:tc>
      </w:tr>
      <w:tr w:rsidTr="007207E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>
            <w:pPr>
              <w:pStyle w:val="BodyText"/>
              <w:keepLines w:val="0"/>
              <w:spacing w:before="0" w:after="0"/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rPr>
                <w:rStyle w:val="SpecialBold"/>
              </w:rPr>
              <w:t>4.3</w:t>
            </w:r>
          </w:p>
        </w:tc>
        <w:tc>
          <w:tcPr>
            <w:tcW w:w="6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t>Lifting gear, equipment and packing are maintained and stored in accordance with workplace and manufacturer specifications, guidelines and regulatory requirements</w:t>
            </w:r>
          </w:p>
        </w:tc>
      </w:tr>
    </w:tbl>
    <w:p w:rsidR="006228E6" w:rsidP="007207E1">
      <w:pPr>
        <w:pStyle w:val="NoPaddingFontSize1"/>
      </w:pPr>
    </w:p>
    <w:p w:rsidR="006228E6" w:rsidP="007207E1">
      <w:pPr>
        <w:pStyle w:val="NoPaddingFontSize1"/>
      </w:pPr>
    </w:p>
    <w:p w:rsidR="00000000" w:rsidRPr="007207E1" w:rsidP="007207E1">
      <w:pPr>
        <w:pStyle w:val="Heading1"/>
      </w:pPr>
      <w:bookmarkStart w:id="7" w:name="O_1196346"/>
      <w:bookmarkEnd w:id="7"/>
      <w:r w:rsidRPr="007207E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t>Foundation skills essential to performance are explicit in the performance criteria of this unit of competency.</w:t>
            </w:r>
          </w:p>
        </w:tc>
      </w:tr>
    </w:tbl>
    <w:p w:rsidR="006228E6" w:rsidP="007207E1">
      <w:pPr>
        <w:pStyle w:val="NoPaddingFontSize1"/>
      </w:pPr>
    </w:p>
    <w:p w:rsidR="006228E6" w:rsidP="007207E1">
      <w:pPr>
        <w:pStyle w:val="NoPaddingFontSize1"/>
      </w:pPr>
    </w:p>
    <w:p w:rsidR="00000000" w:rsidRPr="007207E1" w:rsidP="007207E1">
      <w:pPr>
        <w:pStyle w:val="Heading1"/>
      </w:pPr>
      <w:bookmarkStart w:id="8" w:name="O_1196345"/>
      <w:bookmarkEnd w:id="8"/>
      <w:r w:rsidRPr="007207E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t>Range is restricted to essential operating conditions and any other variables essential to the work e</w:t>
            </w:r>
            <w:r w:rsidRPr="007207E1">
              <w:t>nvironment.</w:t>
            </w:r>
          </w:p>
          <w:p w:rsidR="00000000" w:rsidRPr="007207E1" w:rsidP="007207E1">
            <w:pPr>
              <w:pStyle w:val="BodyText"/>
            </w:pPr>
            <w:r w:rsidRPr="007207E1">
              <w:t>Non-essential conditions can be found in the TLI Transport and Logistics Training Package Companion Volume Implementation Guide.</w:t>
            </w:r>
          </w:p>
        </w:tc>
      </w:tr>
    </w:tbl>
    <w:p w:rsidR="006228E6" w:rsidP="007207E1">
      <w:pPr>
        <w:pStyle w:val="NoPaddingFontSize1"/>
      </w:pPr>
    </w:p>
    <w:p w:rsidR="006228E6" w:rsidP="007207E1">
      <w:pPr>
        <w:pStyle w:val="NoPaddingFontSize1"/>
      </w:pPr>
    </w:p>
    <w:p w:rsidR="00000000" w:rsidRPr="007207E1" w:rsidP="007207E1">
      <w:pPr>
        <w:pStyle w:val="Heading1"/>
      </w:pPr>
      <w:bookmarkStart w:id="9" w:name="O_1196344"/>
      <w:bookmarkEnd w:id="9"/>
      <w:r w:rsidRPr="007207E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t>This unit replaces and is equivalent to TLID3031A Rig load.</w:t>
            </w:r>
          </w:p>
        </w:tc>
      </w:tr>
    </w:tbl>
    <w:p w:rsidR="006228E6" w:rsidP="007207E1">
      <w:pPr>
        <w:pStyle w:val="NoPaddingFontSize1"/>
      </w:pPr>
    </w:p>
    <w:p w:rsidR="006228E6" w:rsidP="007207E1">
      <w:pPr>
        <w:pStyle w:val="NoPaddingFontSize1"/>
      </w:pPr>
    </w:p>
    <w:p w:rsidR="00000000" w:rsidRPr="007207E1" w:rsidP="007207E1">
      <w:pPr>
        <w:pStyle w:val="Heading1"/>
      </w:pPr>
      <w:bookmarkStart w:id="10" w:name="O_1196353"/>
      <w:bookmarkEnd w:id="10"/>
      <w:r w:rsidRPr="007207E1">
        <w:t>Links</w:t>
      </w:r>
    </w:p>
    <w:p w:rsidR="00000000" w:rsidRPr="007207E1" w:rsidP="006228E6">
      <w:pPr>
        <w:pStyle w:val="BodyText"/>
      </w:pPr>
      <w:r w:rsidRPr="007207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A22D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207E1" w:rsidP="006228E6">
      <w:pPr>
        <w:pStyle w:val="BodyText"/>
        <w:sectPr w:rsidSect="007207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07E1" w:rsidP="007207E1">
      <w:pPr>
        <w:pStyle w:val="SuperHeading"/>
      </w:pPr>
      <w:r w:rsidRPr="007207E1">
        <w:t>Assessment Requirements for TLID3031 Ri</w:t>
      </w:r>
      <w:r w:rsidRPr="007207E1">
        <w:t>g load</w:t>
      </w:r>
    </w:p>
    <w:p w:rsidR="00000000" w:rsidRPr="007207E1" w:rsidP="007207E1">
      <w:pPr>
        <w:pStyle w:val="Heading1"/>
      </w:pPr>
      <w:bookmarkStart w:id="11" w:name="O_1196342"/>
      <w:bookmarkEnd w:id="11"/>
      <w:r w:rsidRPr="007207E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rPr>
                <w:rStyle w:val="SpecialBold"/>
              </w:rPr>
              <w:t>Release 2.</w:t>
            </w:r>
            <w:r w:rsidRPr="007207E1">
              <w:t xml:space="preserve"> This is the second release of this unit of competency in the TLI Transport and Logistics Training Package.  </w:t>
            </w:r>
          </w:p>
          <w:p w:rsidR="00000000" w:rsidRPr="007207E1" w:rsidP="007207E1">
            <w:pPr>
              <w:pStyle w:val="ListBullet2"/>
            </w:pPr>
            <w:r w:rsidRPr="007207E1">
              <w:t>Minor changes to unit Application</w:t>
            </w:r>
          </w:p>
          <w:p w:rsidR="00000000" w:rsidRPr="007207E1" w:rsidP="007207E1">
            <w:pPr>
              <w:pStyle w:val="ListBullet2"/>
            </w:pPr>
            <w:r w:rsidRPr="007207E1">
              <w:t>Minor changes to Performance Criteria</w:t>
            </w:r>
          </w:p>
          <w:p w:rsidR="00000000" w:rsidRPr="007207E1" w:rsidP="007207E1">
            <w:pPr>
              <w:pStyle w:val="ListBullet2"/>
            </w:pPr>
            <w:r w:rsidRPr="007207E1">
              <w:t>Minor changes to Performance Evidence</w:t>
            </w:r>
          </w:p>
          <w:p w:rsidR="00000000" w:rsidRPr="007207E1" w:rsidP="007207E1">
            <w:pPr>
              <w:pStyle w:val="ListBullet2"/>
            </w:pPr>
            <w:r w:rsidRPr="007207E1">
              <w:t>Minor changes to Knowledge Evidence</w:t>
            </w:r>
          </w:p>
          <w:p w:rsidR="00000000" w:rsidP="007207E1">
            <w:pPr>
              <w:pStyle w:val="ListBullet2"/>
              <w:rPr>
                <w:lang w:val="en-NZ"/>
              </w:rPr>
            </w:pPr>
            <w:r w:rsidRPr="007207E1">
              <w:t>Minor changes to Assessment Conditions.</w:t>
            </w:r>
          </w:p>
        </w:tc>
      </w:tr>
      <w:tr w:rsidTr="00720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rPr>
                <w:rStyle w:val="SpecialBold"/>
              </w:rPr>
              <w:t>Release 1.</w:t>
            </w:r>
            <w:r w:rsidRPr="007207E1">
              <w:t xml:space="preserve"> This is the first release of this unit of competency in the TLI Transport and Logistics Training Package.</w:t>
            </w:r>
          </w:p>
        </w:tc>
      </w:tr>
    </w:tbl>
    <w:p w:rsidR="006228E6" w:rsidP="007207E1">
      <w:pPr>
        <w:pStyle w:val="NoPaddingFontSize1"/>
      </w:pPr>
    </w:p>
    <w:p w:rsidR="006228E6" w:rsidP="007207E1">
      <w:pPr>
        <w:pStyle w:val="NoPaddingFontSize1"/>
      </w:pPr>
    </w:p>
    <w:p w:rsidR="00000000" w:rsidRPr="007207E1" w:rsidP="007207E1">
      <w:pPr>
        <w:pStyle w:val="Heading1"/>
      </w:pPr>
      <w:bookmarkStart w:id="12" w:name="O_1196341"/>
      <w:bookmarkEnd w:id="12"/>
      <w:r w:rsidRPr="007207E1">
        <w:t>P</w:t>
      </w:r>
      <w:r w:rsidRPr="007207E1">
        <w:t>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720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ListBullet"/>
            </w:pPr>
            <w:r w:rsidRPr="007207E1">
              <w:t xml:space="preserve">applying precautions and required actions to minimise, control or eliminate identified hazards </w:t>
            </w:r>
          </w:p>
          <w:p w:rsidR="00000000" w:rsidRPr="007207E1" w:rsidP="007207E1">
            <w:pPr>
              <w:pStyle w:val="ListBullet"/>
            </w:pPr>
            <w:r w:rsidRPr="007207E1">
              <w:t>applying relevant high-risk work legislation and workplace procedures</w:t>
            </w:r>
          </w:p>
          <w:p w:rsidR="00000000" w:rsidRPr="007207E1" w:rsidP="007207E1">
            <w:pPr>
              <w:pStyle w:val="ListBullet"/>
            </w:pPr>
            <w:r w:rsidRPr="007207E1">
              <w:t>calculating safe working load (SWL)/working load limit (WLL)</w:t>
            </w:r>
          </w:p>
          <w:p w:rsidR="00000000" w:rsidRPr="007207E1" w:rsidP="007207E1">
            <w:pPr>
              <w:pStyle w:val="ListBullet"/>
            </w:pPr>
            <w:r w:rsidRPr="007207E1">
              <w:t>communicating effectively wit</w:t>
            </w:r>
            <w:r w:rsidRPr="007207E1">
              <w:t xml:space="preserve">h others </w:t>
            </w:r>
          </w:p>
          <w:p w:rsidR="00000000" w:rsidRPr="007207E1" w:rsidP="007207E1">
            <w:pPr>
              <w:pStyle w:val="ListBullet"/>
            </w:pPr>
            <w:r w:rsidRPr="007207E1">
              <w:t>identifying and correctly using equipment, processes and procedures</w:t>
            </w:r>
          </w:p>
          <w:p w:rsidR="00000000" w:rsidRPr="007207E1" w:rsidP="007207E1">
            <w:pPr>
              <w:pStyle w:val="ListBullet"/>
            </w:pPr>
            <w:r w:rsidRPr="007207E1">
              <w:t>inspecting equipment prior to use</w:t>
            </w:r>
          </w:p>
          <w:p w:rsidR="00000000" w:rsidRPr="007207E1" w:rsidP="007207E1">
            <w:pPr>
              <w:pStyle w:val="ListBullet"/>
            </w:pPr>
            <w:r w:rsidRPr="007207E1">
              <w:t>interpreting and following operational instructions and prioritising work</w:t>
            </w:r>
          </w:p>
          <w:p w:rsidR="00000000" w:rsidRPr="007207E1" w:rsidP="007207E1">
            <w:pPr>
              <w:pStyle w:val="ListBullet"/>
            </w:pPr>
            <w:r w:rsidRPr="007207E1">
              <w:t>modifying activities depending on operational contingencies, risk situ</w:t>
            </w:r>
            <w:r w:rsidRPr="007207E1">
              <w:t>ations and environments</w:t>
            </w:r>
          </w:p>
          <w:p w:rsidR="00000000" w:rsidRPr="007207E1" w:rsidP="007207E1">
            <w:pPr>
              <w:pStyle w:val="ListBullet"/>
            </w:pPr>
            <w:r w:rsidRPr="007207E1">
              <w:t>monitoring condition and performance of gear and equipment and taking appropriate action, as required</w:t>
            </w:r>
          </w:p>
          <w:p w:rsidR="00000000" w:rsidRPr="007207E1" w:rsidP="007207E1">
            <w:pPr>
              <w:pStyle w:val="ListBullet"/>
            </w:pPr>
            <w:r w:rsidRPr="007207E1">
              <w:t>operating and adapting to differences in equipment in accordance with workplace procedures</w:t>
            </w:r>
          </w:p>
          <w:p w:rsidR="00000000" w:rsidRPr="007207E1" w:rsidP="007207E1">
            <w:pPr>
              <w:pStyle w:val="ListBullet"/>
            </w:pPr>
            <w:r w:rsidRPr="007207E1">
              <w:t>reading and interpreting relevant instr</w:t>
            </w:r>
            <w:r w:rsidRPr="007207E1">
              <w:t xml:space="preserve">uctions, procedures, information and signs </w:t>
            </w:r>
          </w:p>
          <w:p w:rsidR="00000000" w:rsidRPr="007207E1" w:rsidP="007207E1">
            <w:pPr>
              <w:pStyle w:val="ListBullet"/>
            </w:pPr>
            <w:r w:rsidRPr="007207E1">
              <w:t>reporting and/or rectifying identified problems, faults or malfunctions promptly in accordance with regulatory requirements and workplace procedures</w:t>
            </w:r>
          </w:p>
          <w:p w:rsidR="00000000" w:rsidRPr="007207E1" w:rsidP="007207E1">
            <w:pPr>
              <w:pStyle w:val="ListBullet"/>
            </w:pPr>
            <w:r w:rsidRPr="007207E1">
              <w:t>selecting and using required personal protective equipment (PPE) conforming to industry and work health and safety (WHS)/occupational health and safety (OHS) standards</w:t>
            </w:r>
          </w:p>
          <w:p w:rsidR="00000000" w:rsidRPr="007207E1" w:rsidP="007207E1">
            <w:pPr>
              <w:pStyle w:val="ListBullet"/>
            </w:pPr>
            <w:r w:rsidRPr="007207E1">
              <w:t>servicing gear and equipment in terms of maintenance schedule and workplace operating pr</w:t>
            </w:r>
            <w:r w:rsidRPr="007207E1">
              <w:t>ocedures</w:t>
            </w:r>
          </w:p>
          <w:p w:rsidR="00000000" w:rsidRPr="007207E1" w:rsidP="007207E1">
            <w:pPr>
              <w:pStyle w:val="ListBullet"/>
            </w:pPr>
            <w:r w:rsidRPr="007207E1">
              <w:t xml:space="preserve">working collaboratively with others </w:t>
            </w:r>
          </w:p>
          <w:p w:rsidR="00000000" w:rsidRPr="007207E1" w:rsidP="007207E1">
            <w:pPr>
              <w:pStyle w:val="ListBullet"/>
            </w:pPr>
            <w:r w:rsidRPr="007207E1">
              <w:t>working systematically with required attention to detail without injury to self or others, or damage to goods or equipment.</w:t>
            </w:r>
          </w:p>
        </w:tc>
      </w:tr>
    </w:tbl>
    <w:p w:rsidR="00000000" w:rsidRPr="007207E1" w:rsidP="007207E1">
      <w:pPr>
        <w:pStyle w:val="NoPaddingFontSize1"/>
      </w:pPr>
    </w:p>
    <w:p w:rsidR="00000000" w:rsidRPr="007207E1" w:rsidP="007207E1">
      <w:pPr>
        <w:pStyle w:val="AllowPageBreak"/>
      </w:pPr>
    </w:p>
    <w:p w:rsidR="00000000" w:rsidRPr="007207E1" w:rsidP="007207E1">
      <w:pPr>
        <w:pStyle w:val="Heading1"/>
      </w:pPr>
      <w:bookmarkStart w:id="13" w:name="O_1196340"/>
      <w:bookmarkEnd w:id="13"/>
      <w:r w:rsidRPr="007207E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E1">
            <w:pPr>
              <w:pStyle w:val="BodyText"/>
              <w:rPr>
                <w:lang w:val="en-NZ"/>
              </w:rPr>
            </w:pPr>
            <w:r w:rsidRPr="007207E1">
              <w:t>Evidence required to demonstrate competence in</w:t>
            </w:r>
            <w:r w:rsidRPr="007207E1">
              <w:t xml:space="preserve"> this unit must be relevant to and satisfy all the requirements of the elements and performance criteria and include knowledge of:</w:t>
            </w:r>
          </w:p>
        </w:tc>
      </w:tr>
      <w:tr w:rsidTr="00720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ListBullet"/>
            </w:pPr>
            <w:r w:rsidRPr="007207E1">
              <w:t>dogging and rigging licence to perform high-risk work requirements</w:t>
            </w:r>
          </w:p>
          <w:p w:rsidR="00000000" w:rsidRPr="007207E1" w:rsidP="007207E1">
            <w:pPr>
              <w:pStyle w:val="ListBullet"/>
            </w:pPr>
            <w:r w:rsidRPr="007207E1">
              <w:t>how to prioritise and multi-tasking work</w:t>
            </w:r>
          </w:p>
          <w:p w:rsidR="00000000" w:rsidRPr="007207E1" w:rsidP="007207E1">
            <w:pPr>
              <w:pStyle w:val="ListBullet"/>
            </w:pPr>
            <w:r w:rsidRPr="007207E1">
              <w:t>manufacturer specifications and guidelines</w:t>
            </w:r>
          </w:p>
          <w:p w:rsidR="00000000" w:rsidRPr="007207E1" w:rsidP="007207E1">
            <w:pPr>
              <w:pStyle w:val="ListBullet"/>
            </w:pPr>
            <w:r w:rsidRPr="007207E1">
              <w:t>mobile crane applications, capacities, configurations, safety hazards and control mechanisms</w:t>
            </w:r>
          </w:p>
          <w:p w:rsidR="00000000" w:rsidRPr="007207E1" w:rsidP="007207E1">
            <w:pPr>
              <w:pStyle w:val="ListBullet"/>
            </w:pPr>
            <w:r w:rsidRPr="007207E1">
              <w:t>operational procedures for crane crews</w:t>
            </w:r>
          </w:p>
          <w:p w:rsidR="00000000" w:rsidRPr="007207E1" w:rsidP="007207E1">
            <w:pPr>
              <w:pStyle w:val="ListBullet"/>
            </w:pPr>
            <w:r w:rsidRPr="007207E1">
              <w:t>operational work systems and equipment</w:t>
            </w:r>
          </w:p>
          <w:p w:rsidR="00000000" w:rsidRPr="007207E1" w:rsidP="007207E1">
            <w:pPr>
              <w:pStyle w:val="ListBullet"/>
            </w:pPr>
            <w:r w:rsidRPr="007207E1">
              <w:t>problems that may arise when rigging a loa</w:t>
            </w:r>
            <w:r w:rsidRPr="007207E1">
              <w:t>d during mobile crane operations and actions that should be taken to prevent or solve these problems</w:t>
            </w:r>
          </w:p>
          <w:p w:rsidR="00000000" w:rsidRPr="007207E1" w:rsidP="007207E1">
            <w:pPr>
              <w:pStyle w:val="ListBullet"/>
            </w:pPr>
            <w:r w:rsidRPr="007207E1">
              <w:t>relevant road rules, regulations, permit and high-risk work licence requirements for rigging loads during mobile crane operations</w:t>
            </w:r>
          </w:p>
          <w:p w:rsidR="00000000" w:rsidRPr="007207E1" w:rsidP="007207E1">
            <w:pPr>
              <w:pStyle w:val="ListBullet"/>
            </w:pPr>
            <w:r w:rsidRPr="007207E1">
              <w:t>relevant WHS/OHS and envi</w:t>
            </w:r>
            <w:r w:rsidRPr="007207E1">
              <w:t>ronmental procedures and regulations</w:t>
            </w:r>
          </w:p>
          <w:p w:rsidR="00000000" w:rsidRPr="007207E1" w:rsidP="007207E1">
            <w:pPr>
              <w:pStyle w:val="ListBullet"/>
            </w:pPr>
            <w:r w:rsidRPr="007207E1">
              <w:t xml:space="preserve">SWL/WLL requirements </w:t>
            </w:r>
          </w:p>
          <w:p w:rsidR="00000000" w:rsidRPr="007207E1" w:rsidP="007207E1">
            <w:pPr>
              <w:pStyle w:val="ListBullet"/>
            </w:pPr>
            <w:r w:rsidRPr="007207E1">
              <w:t>workplace procedures for rigging loads during mobile crane operations.</w:t>
            </w:r>
          </w:p>
        </w:tc>
      </w:tr>
    </w:tbl>
    <w:p w:rsidR="006228E6" w:rsidP="007207E1">
      <w:pPr>
        <w:pStyle w:val="NoPaddingFontSize1"/>
      </w:pPr>
    </w:p>
    <w:p w:rsidR="006228E6" w:rsidP="007207E1">
      <w:pPr>
        <w:pStyle w:val="NoPaddingFontSize1"/>
      </w:pPr>
    </w:p>
    <w:p w:rsidR="00000000" w:rsidRPr="007207E1" w:rsidP="007207E1">
      <w:pPr>
        <w:pStyle w:val="Heading1"/>
      </w:pPr>
      <w:bookmarkStart w:id="14" w:name="O_1196339"/>
      <w:bookmarkEnd w:id="14"/>
      <w:r w:rsidRPr="007207E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E1" w:rsidP="007207E1">
            <w:pPr>
              <w:pStyle w:val="BodyText"/>
            </w:pPr>
            <w:r w:rsidRPr="007207E1">
              <w:t xml:space="preserve">Assessors must hold credentials specified within the Standards for Registered Training Organisations current at the time of assessment. </w:t>
            </w:r>
          </w:p>
          <w:p w:rsidR="00000000" w:rsidRPr="007207E1" w:rsidP="007207E1">
            <w:pPr>
              <w:pStyle w:val="BodyText"/>
            </w:pPr>
            <w:r w:rsidRPr="007207E1">
              <w:t>Assessment must satisfy the Principles of Assessment and Rules of Evidence and all regulatory requirements included wit</w:t>
            </w:r>
            <w:r w:rsidRPr="007207E1">
              <w:t>hin the Standards for Registered Training Organisations current at the time of assessment.</w:t>
            </w:r>
          </w:p>
          <w:p w:rsidR="00000000" w:rsidRPr="007207E1" w:rsidP="007207E1">
            <w:pPr>
              <w:pStyle w:val="BodyText"/>
            </w:pPr>
            <w:r w:rsidRPr="007207E1">
              <w:t>Assessment must occur in workplace operational situations where it is appropriate to do so; where this is not appropriate, assessment must occur in simulated workpla</w:t>
            </w:r>
            <w:r w:rsidRPr="007207E1">
              <w:t>ce operational situations that replicate workplace conditions.</w:t>
            </w:r>
          </w:p>
          <w:p w:rsidR="00000000" w:rsidRPr="007207E1" w:rsidP="007207E1">
            <w:pPr>
              <w:pStyle w:val="BodyText"/>
            </w:pPr>
            <w:r w:rsidRPr="007207E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207E1" w:rsidP="007207E1">
            <w:pPr>
              <w:pStyle w:val="BodyText"/>
            </w:pPr>
            <w:r w:rsidRPr="007207E1">
              <w:t xml:space="preserve">Resources for assessment </w:t>
            </w:r>
            <w:r w:rsidRPr="007207E1">
              <w:t>must include access to:</w:t>
            </w:r>
          </w:p>
          <w:p w:rsidR="00000000" w:rsidRPr="007207E1" w:rsidP="007207E1">
            <w:pPr>
              <w:pStyle w:val="ListBullet"/>
            </w:pPr>
            <w:r w:rsidRPr="007207E1">
              <w:t>a range of relevant exercises, case studies and/or simulations</w:t>
            </w:r>
          </w:p>
          <w:p w:rsidR="00000000" w:rsidRPr="007207E1" w:rsidP="007207E1">
            <w:pPr>
              <w:pStyle w:val="ListBullet"/>
            </w:pPr>
            <w:r w:rsidRPr="007207E1">
              <w:t>relevant and appropriate materials, tools, equipment and PPE currently used in industry</w:t>
            </w:r>
          </w:p>
          <w:p w:rsidR="00000000" w:rsidRPr="007207E1" w:rsidP="007207E1">
            <w:pPr>
              <w:pStyle w:val="ListBullet"/>
            </w:pPr>
            <w:r w:rsidRPr="007207E1">
              <w:t>applicable documentation, including legislation, regulations, codes of practice,</w:t>
            </w:r>
            <w:r w:rsidRPr="007207E1">
              <w:t xml:space="preserve"> workplace procedures and operation manuals</w:t>
            </w:r>
          </w:p>
        </w:tc>
      </w:tr>
    </w:tbl>
    <w:p w:rsidR="00000000" w:rsidRPr="007207E1" w:rsidP="007207E1">
      <w:pPr>
        <w:pStyle w:val="NoPaddingFontSize1"/>
      </w:pPr>
    </w:p>
    <w:p w:rsidR="00000000" w:rsidRPr="007207E1" w:rsidP="007207E1">
      <w:pPr>
        <w:pStyle w:val="AllowPageBreak"/>
      </w:pPr>
    </w:p>
    <w:p w:rsidR="00000000" w:rsidRPr="007207E1" w:rsidP="007207E1">
      <w:pPr>
        <w:pStyle w:val="Heading1"/>
      </w:pPr>
      <w:bookmarkStart w:id="15" w:name="O_1196354"/>
      <w:bookmarkEnd w:id="15"/>
      <w:r w:rsidRPr="007207E1">
        <w:t>Links</w:t>
      </w:r>
    </w:p>
    <w:p w:rsidR="00000000" w:rsidRPr="007207E1" w:rsidP="006228E6">
      <w:pPr>
        <w:pStyle w:val="BodyText"/>
      </w:pPr>
      <w:r w:rsidRPr="007207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A22D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207E1" w:rsidP="007207E1"/>
    <w:sectPr w:rsidSect="007207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7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7E1" w:rsidRPr="006228E6" w:rsidP="006228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7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8E6" w:rsidP="007207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228E6" w:rsidP="007207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228E6" w:rsidP="007207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7E1" w:rsidP="007207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28E6">
      <w:t>Approved</w:t>
    </w:r>
    <w:r w:rsidR="006228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28E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28E6">
      <w:rPr>
        <w:noProof/>
      </w:rPr>
      <w:t>5</w:t>
    </w:r>
    <w:r>
      <w:rPr>
        <w:noProof/>
      </w:rPr>
      <w:fldChar w:fldCharType="end"/>
    </w:r>
  </w:p>
  <w:p w:rsidR="007207E1" w:rsidP="007207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28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28E6">
      <w:t>Industry Skills Australia</w:t>
    </w:r>
    <w:r w:rsidR="006228E6">
      <w:fldChar w:fldCharType="end"/>
    </w:r>
  </w:p>
  <w:p w:rsidR="007207E1" w:rsidP="007207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7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8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7E1" w:rsidRPr="006228E6" w:rsidP="006228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7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8E6" w:rsidRPr="002D2AF8" w:rsidP="007207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TLID3031 Rig load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28E6" w:rsidP="007207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7E1" w:rsidRPr="002D2AF8" w:rsidP="007207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28E6">
      <w:t>TLID3031 Rig load</w:t>
    </w:r>
    <w:r w:rsidR="006228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28E6">
      <w:rPr>
        <w:noProof/>
      </w:rPr>
      <w:t>2 March 2025</w:t>
    </w:r>
    <w:r>
      <w:fldChar w:fldCharType="end"/>
    </w:r>
  </w:p>
  <w:p w:rsidR="007207E1" w:rsidP="007207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42AD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38E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DEAA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7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7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7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7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7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7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7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7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7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7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7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7E1"/>
  </w:style>
  <w:style w:type="character" w:customStyle="1" w:styleId="Heading1Char">
    <w:name w:val="Heading 1 Char"/>
    <w:basedOn w:val="DefaultParagraphFont"/>
    <w:link w:val="Heading1"/>
    <w:rsid w:val="007207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7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7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07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07E1"/>
    <w:rPr>
      <w:b/>
      <w:spacing w:val="0"/>
    </w:rPr>
  </w:style>
  <w:style w:type="paragraph" w:styleId="ListBullet2">
    <w:name w:val="List Bullet 2"/>
    <w:basedOn w:val="List2"/>
    <w:rsid w:val="007207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07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7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207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7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7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7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7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7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7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7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7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7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7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7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7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7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7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7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7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7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7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07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07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7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7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07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7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7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7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7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7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7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7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7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07E1"/>
    <w:rPr>
      <w:i/>
    </w:rPr>
  </w:style>
  <w:style w:type="paragraph" w:styleId="Caption">
    <w:name w:val="caption"/>
    <w:basedOn w:val="BodyText"/>
    <w:next w:val="Normal"/>
    <w:qFormat/>
    <w:rsid w:val="007207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7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7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7E1"/>
  </w:style>
  <w:style w:type="paragraph" w:styleId="TableofFigures">
    <w:name w:val="table of figures"/>
    <w:basedOn w:val="Normal"/>
    <w:next w:val="Normal"/>
    <w:semiHidden/>
    <w:rsid w:val="007207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7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07E1"/>
    <w:rPr>
      <w:rFonts w:ascii="Wingdings" w:hAnsi="Wingdings"/>
    </w:rPr>
  </w:style>
  <w:style w:type="paragraph" w:customStyle="1" w:styleId="TableHeading">
    <w:name w:val="Table Heading"/>
    <w:basedOn w:val="HeadingBase"/>
    <w:rsid w:val="007207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7E1"/>
    <w:rPr>
      <w:color w:val="0033CC"/>
      <w:u w:val="none"/>
    </w:rPr>
  </w:style>
  <w:style w:type="paragraph" w:customStyle="1" w:styleId="BodyTextRight">
    <w:name w:val="Body Text Right"/>
    <w:basedOn w:val="BodyText"/>
    <w:rsid w:val="007207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7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7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7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7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7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7E1"/>
    <w:rPr>
      <w:sz w:val="32"/>
    </w:rPr>
  </w:style>
  <w:style w:type="paragraph" w:customStyle="1" w:styleId="HeadingProcedure">
    <w:name w:val="Heading Procedure"/>
    <w:basedOn w:val="HeadingBase"/>
    <w:next w:val="Normal"/>
    <w:rsid w:val="007207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7E1"/>
    <w:pPr>
      <w:spacing w:before="60" w:after="60"/>
    </w:pPr>
  </w:style>
  <w:style w:type="paragraph" w:styleId="ListContinue">
    <w:name w:val="List Continue"/>
    <w:basedOn w:val="List"/>
    <w:rsid w:val="007207E1"/>
    <w:pPr>
      <w:ind w:firstLine="0"/>
    </w:pPr>
  </w:style>
  <w:style w:type="paragraph" w:customStyle="1" w:styleId="ListNote">
    <w:name w:val="List Note"/>
    <w:basedOn w:val="List"/>
    <w:rsid w:val="007207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7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7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7E1"/>
    <w:rPr>
      <w:rFonts w:ascii="Courier New" w:hAnsi="Courier New"/>
    </w:rPr>
  </w:style>
  <w:style w:type="paragraph" w:customStyle="1" w:styleId="NoteBullet">
    <w:name w:val="Note Bullet"/>
    <w:basedOn w:val="Note"/>
    <w:rsid w:val="007207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7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7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7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7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07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7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7E1"/>
    <w:rPr>
      <w:b/>
      <w:smallCaps/>
    </w:rPr>
  </w:style>
  <w:style w:type="paragraph" w:customStyle="1" w:styleId="TableListNumber">
    <w:name w:val="Table List Number"/>
    <w:basedOn w:val="ListNumber"/>
    <w:rsid w:val="007207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7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7E1"/>
    <w:pPr>
      <w:numPr>
        <w:numId w:val="9"/>
      </w:numPr>
    </w:pPr>
  </w:style>
  <w:style w:type="paragraph" w:customStyle="1" w:styleId="ListAlpha2">
    <w:name w:val="List Alpha 2"/>
    <w:basedOn w:val="List2"/>
    <w:rsid w:val="007207E1"/>
    <w:pPr>
      <w:numPr>
        <w:numId w:val="8"/>
      </w:numPr>
    </w:pPr>
  </w:style>
  <w:style w:type="paragraph" w:styleId="List2">
    <w:name w:val="List 2"/>
    <w:basedOn w:val="BodyText"/>
    <w:rsid w:val="007207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7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7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7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7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7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07E1"/>
    <w:pPr>
      <w:numPr>
        <w:numId w:val="4"/>
      </w:numPr>
    </w:pPr>
  </w:style>
  <w:style w:type="paragraph" w:styleId="ListContinue2">
    <w:name w:val="List Continue 2"/>
    <w:basedOn w:val="List2"/>
    <w:rsid w:val="007207E1"/>
    <w:pPr>
      <w:ind w:firstLine="0"/>
    </w:pPr>
  </w:style>
  <w:style w:type="paragraph" w:styleId="ListContinue3">
    <w:name w:val="List Continue 3"/>
    <w:basedOn w:val="List3"/>
    <w:rsid w:val="007207E1"/>
    <w:pPr>
      <w:ind w:left="1021" w:firstLine="0"/>
    </w:pPr>
  </w:style>
  <w:style w:type="paragraph" w:styleId="ListContinue4">
    <w:name w:val="List Continue 4"/>
    <w:basedOn w:val="List4"/>
    <w:rsid w:val="007207E1"/>
    <w:pPr>
      <w:ind w:firstLine="0"/>
    </w:pPr>
  </w:style>
  <w:style w:type="paragraph" w:styleId="ListContinue5">
    <w:name w:val="List Continue 5"/>
    <w:basedOn w:val="List5"/>
    <w:rsid w:val="007207E1"/>
    <w:pPr>
      <w:ind w:firstLine="0"/>
    </w:pPr>
  </w:style>
  <w:style w:type="paragraph" w:styleId="ListNumber3">
    <w:name w:val="List Number 3"/>
    <w:basedOn w:val="List3"/>
    <w:rsid w:val="007207E1"/>
    <w:pPr>
      <w:numPr>
        <w:numId w:val="5"/>
      </w:numPr>
    </w:pPr>
  </w:style>
  <w:style w:type="paragraph" w:styleId="ListNumber4">
    <w:name w:val="List Number 4"/>
    <w:basedOn w:val="List4"/>
    <w:rsid w:val="007207E1"/>
    <w:pPr>
      <w:numPr>
        <w:numId w:val="6"/>
      </w:numPr>
    </w:pPr>
  </w:style>
  <w:style w:type="paragraph" w:styleId="ListNumber5">
    <w:name w:val="List Number 5"/>
    <w:basedOn w:val="List5"/>
    <w:rsid w:val="007207E1"/>
    <w:pPr>
      <w:numPr>
        <w:numId w:val="7"/>
      </w:numPr>
    </w:pPr>
  </w:style>
  <w:style w:type="paragraph" w:styleId="BlockText">
    <w:name w:val="Block Text"/>
    <w:basedOn w:val="Normal"/>
    <w:rsid w:val="007207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7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7E1"/>
    <w:rPr>
      <w:sz w:val="16"/>
      <w:vertAlign w:val="superscript"/>
    </w:rPr>
  </w:style>
  <w:style w:type="character" w:customStyle="1" w:styleId="Symbols">
    <w:name w:val="Symbols"/>
    <w:basedOn w:val="DefaultParagraphFont"/>
    <w:rsid w:val="007207E1"/>
    <w:rPr>
      <w:rFonts w:ascii="Symbol" w:hAnsi="Symbol"/>
    </w:rPr>
  </w:style>
  <w:style w:type="character" w:customStyle="1" w:styleId="MenuOptions">
    <w:name w:val="Menu Options"/>
    <w:basedOn w:val="DefaultParagraphFont"/>
    <w:rsid w:val="007207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7E1"/>
    <w:rPr>
      <w:b/>
    </w:rPr>
  </w:style>
  <w:style w:type="character" w:customStyle="1" w:styleId="Underlined">
    <w:name w:val="Underlined"/>
    <w:basedOn w:val="DefaultParagraphFont"/>
    <w:rsid w:val="007207E1"/>
    <w:rPr>
      <w:u w:val="single"/>
    </w:rPr>
  </w:style>
  <w:style w:type="paragraph" w:customStyle="1" w:styleId="TableBodyTextRight">
    <w:name w:val="Table Body Text Right"/>
    <w:basedOn w:val="TableBodyText"/>
    <w:rsid w:val="007207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7E1"/>
    <w:rPr>
      <w:sz w:val="18"/>
    </w:rPr>
  </w:style>
  <w:style w:type="paragraph" w:customStyle="1" w:styleId="BodySmallRight">
    <w:name w:val="Body Small Right"/>
    <w:basedOn w:val="BodyTextRight"/>
    <w:rsid w:val="007207E1"/>
    <w:rPr>
      <w:sz w:val="18"/>
      <w:szCs w:val="18"/>
    </w:rPr>
  </w:style>
  <w:style w:type="paragraph" w:customStyle="1" w:styleId="MarginEdition">
    <w:name w:val="Margin Edition"/>
    <w:basedOn w:val="MarginNote"/>
    <w:rsid w:val="007207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7E1"/>
    <w:rPr>
      <w:sz w:val="2"/>
      <w:szCs w:val="2"/>
    </w:rPr>
  </w:style>
  <w:style w:type="character" w:customStyle="1" w:styleId="Small">
    <w:name w:val="Small"/>
    <w:basedOn w:val="DefaultParagraphFont"/>
    <w:rsid w:val="007207E1"/>
    <w:rPr>
      <w:sz w:val="16"/>
    </w:rPr>
  </w:style>
  <w:style w:type="paragraph" w:customStyle="1" w:styleId="WideTable">
    <w:name w:val="Wide Table"/>
    <w:basedOn w:val="Normal"/>
    <w:rsid w:val="007207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7E1"/>
  </w:style>
  <w:style w:type="paragraph" w:styleId="Quote">
    <w:name w:val="Quote"/>
    <w:basedOn w:val="Heading1"/>
    <w:link w:val="QuoteChar"/>
    <w:qFormat/>
    <w:rsid w:val="007207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7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7E1"/>
    <w:pPr>
      <w:pageBreakBefore/>
    </w:pPr>
  </w:style>
  <w:style w:type="paragraph" w:customStyle="1" w:styleId="Border">
    <w:name w:val="Border"/>
    <w:basedOn w:val="Normal"/>
    <w:qFormat/>
    <w:rsid w:val="007207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7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7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7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7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7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7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7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7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7E1"/>
    <w:rPr>
      <w:u w:val="single"/>
    </w:rPr>
  </w:style>
  <w:style w:type="character" w:customStyle="1" w:styleId="BoldandItalics">
    <w:name w:val="Bold and Italics"/>
    <w:qFormat/>
    <w:rsid w:val="007207E1"/>
    <w:rPr>
      <w:b/>
      <w:i/>
      <w:u w:val="none"/>
    </w:rPr>
  </w:style>
  <w:style w:type="paragraph" w:styleId="BalloonText">
    <w:name w:val="Balloon Text"/>
    <w:basedOn w:val="Normal"/>
    <w:link w:val="BalloonTextChar"/>
    <w:rsid w:val="007207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7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7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7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7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7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7E1"/>
    <w:pPr>
      <w:spacing w:before="0" w:after="0"/>
    </w:pPr>
  </w:style>
  <w:style w:type="paragraph" w:customStyle="1" w:styleId="BodyTextBold">
    <w:name w:val="Body Text Bold"/>
    <w:basedOn w:val="BodyText"/>
    <w:qFormat/>
    <w:rsid w:val="007207E1"/>
    <w:rPr>
      <w:b/>
    </w:rPr>
  </w:style>
  <w:style w:type="character" w:styleId="Hyperlink">
    <w:name w:val="Hyperlink"/>
    <w:basedOn w:val="DefaultParagraphFont"/>
    <w:uiPriority w:val="99"/>
    <w:unhideWhenUsed/>
    <w:rsid w:val="006228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1206</Words>
  <Characters>7675</Characters>
  <Application>Microsoft Office Word</Application>
  <DocSecurity>0</DocSecurity>
  <Lines>255</Lines>
  <Paragraphs>153</Paragraphs>
  <ScaleCrop>false</ScaleCrop>
  <Company>Author-it Software Corporation Ltd.</Company>
  <LinksUpToDate>false</LinksUpToDate>
  <CharactersWithSpaces>8728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TLID3031 Rig load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2025-03-02T02:36:00Z</dcterms:created>
  <dcterms:modified xsi:type="dcterms:W3CDTF">2025-03-02T02:36:00Z</dcterms:modified>
</cp:coreProperties>
</file>