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901" w:rsidP="00C74901">
      <w:pPr>
        <w:pStyle w:val="Title"/>
      </w:pPr>
      <w:r>
        <w:fldChar w:fldCharType="begin"/>
      </w:r>
      <w:r>
        <w:instrText xml:space="preserve"> TITLE   \* MERGEFORMAT </w:instrText>
      </w:r>
      <w:r>
        <w:fldChar w:fldCharType="separate"/>
      </w:r>
      <w:r>
        <w:t>TLID3024 Use specialised liquid bulk transfer equipment (gravity/pressurised)</w:t>
      </w:r>
      <w:r>
        <w:fldChar w:fldCharType="end"/>
      </w:r>
    </w:p>
    <w:p w:rsidR="00C74901" w:rsidP="00C74901">
      <w:pPr>
        <w:pStyle w:val="Version"/>
        <w:sectPr w:rsidSect="00984F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4FCD" w:rsidP="00984FCD">
      <w:pPr>
        <w:pStyle w:val="SuperHeading"/>
      </w:pPr>
      <w:r w:rsidRPr="00984FCD">
        <w:t>TLID3024 Use specialised liquid bulk transfer equipment (gravity/pressurised)</w:t>
      </w:r>
    </w:p>
    <w:p w:rsidR="00000000" w:rsidRPr="00984FCD" w:rsidP="00984FCD">
      <w:pPr>
        <w:pStyle w:val="Heading1"/>
      </w:pPr>
      <w:bookmarkStart w:id="1" w:name="O_1196370"/>
      <w:bookmarkEnd w:id="1"/>
      <w:r w:rsidRPr="00984FCD">
        <w:t>Modification History</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Release 2.</w:t>
            </w:r>
            <w:r w:rsidRPr="00984FCD">
              <w:t xml:space="preserve"> This is the second release of this unit of competency in the TLI Transport and Logistics Training Package.  </w:t>
            </w:r>
          </w:p>
          <w:p w:rsidR="00000000" w:rsidRPr="00984FCD" w:rsidP="00984FCD">
            <w:pPr>
              <w:pStyle w:val="ListBullet2"/>
            </w:pPr>
            <w:r w:rsidRPr="00984FCD">
              <w:t>Minor changes to unit application</w:t>
            </w:r>
          </w:p>
          <w:p w:rsidR="00000000" w:rsidRPr="00984FCD" w:rsidP="00984FCD">
            <w:pPr>
              <w:pStyle w:val="ListBullet2"/>
            </w:pPr>
            <w:r w:rsidRPr="00984FCD">
              <w:t>Minor changes to performance criteria</w:t>
            </w:r>
          </w:p>
          <w:p w:rsidR="00000000" w:rsidRPr="00984FCD" w:rsidP="00984FCD">
            <w:pPr>
              <w:pStyle w:val="ListBullet2"/>
            </w:pPr>
            <w:r w:rsidRPr="00984FCD">
              <w:t>Minor changes to performance evidence</w:t>
            </w:r>
          </w:p>
          <w:p w:rsidR="00000000" w:rsidRPr="00984FCD" w:rsidP="00984FCD">
            <w:pPr>
              <w:pStyle w:val="ListBullet2"/>
            </w:pPr>
            <w:r w:rsidRPr="00984FCD">
              <w:t>Minor changes to knowledge evidence</w:t>
            </w:r>
          </w:p>
          <w:p w:rsidR="00000000" w:rsidP="00984FCD">
            <w:pPr>
              <w:pStyle w:val="ListBullet2"/>
              <w:rPr>
                <w:lang w:val="en-NZ"/>
              </w:rPr>
            </w:pPr>
            <w:r w:rsidRPr="00984FCD">
              <w:t>Minor changes to assessment conditions.</w:t>
            </w:r>
          </w:p>
        </w:tc>
      </w:tr>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Release 1.</w:t>
            </w:r>
            <w:r w:rsidRPr="00984FCD">
              <w:t xml:space="preserve"> This is the first release of this unit of competency in th</w:t>
            </w:r>
            <w:r w:rsidRPr="00984FCD">
              <w:t>e TLI Transport and Logistics Training Package.</w:t>
            </w:r>
          </w:p>
        </w:tc>
      </w:tr>
    </w:tbl>
    <w:p w:rsidR="00C74901" w:rsidP="00984FCD">
      <w:pPr>
        <w:pStyle w:val="NoPaddingFontSize1"/>
      </w:pPr>
    </w:p>
    <w:p w:rsidR="00C74901" w:rsidP="00984FCD">
      <w:pPr>
        <w:pStyle w:val="NoPaddingFontSize1"/>
      </w:pPr>
    </w:p>
    <w:p w:rsidR="00000000" w:rsidRPr="00984FCD" w:rsidP="00984FCD">
      <w:pPr>
        <w:pStyle w:val="Heading1"/>
      </w:pPr>
      <w:bookmarkStart w:id="2" w:name="O_1196369"/>
      <w:bookmarkEnd w:id="2"/>
      <w:r w:rsidRPr="00984FCD">
        <w:t>Application</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This unit involves the skills and knowledge required to use specialised liquid bulk transfer equipment (gravity/pressurised).</w:t>
            </w:r>
          </w:p>
          <w:p w:rsidR="00000000" w:rsidRPr="00984FCD" w:rsidP="00984FCD">
            <w:pPr>
              <w:pStyle w:val="BodyText"/>
            </w:pPr>
            <w:r w:rsidRPr="00984FCD">
              <w:t>It includes planning work, transferring liquid bulk in accordance with regulatory and operational requirements, monitoring and operating controls, and completing all operations, as required, in accordance with the current Australian Dangerous Goods (ADG) C</w:t>
            </w:r>
            <w:r w:rsidRPr="00984FCD">
              <w:t>ode and relevant state and/or territory regulations.</w:t>
            </w:r>
          </w:p>
          <w:p w:rsidR="00000000" w:rsidRPr="00984FCD" w:rsidP="00984FCD">
            <w:pPr>
              <w:pStyle w:val="BodyText"/>
            </w:pPr>
            <w:r w:rsidRPr="00984FCD">
              <w:t xml:space="preserve">Work is performed under general supervision. </w:t>
            </w:r>
          </w:p>
          <w:p w:rsidR="00000000" w:rsidRPr="00984FCD" w:rsidP="00984FCD">
            <w:pPr>
              <w:pStyle w:val="BodyText"/>
            </w:pPr>
            <w:r w:rsidRPr="00984FCD">
              <w:t>No licensing, legislative or certification requirements apply to this unit at the time of publication.</w:t>
            </w:r>
          </w:p>
        </w:tc>
      </w:tr>
    </w:tbl>
    <w:p w:rsidR="00C74901" w:rsidP="00984FCD">
      <w:pPr>
        <w:pStyle w:val="NoPaddingFontSize1"/>
      </w:pPr>
    </w:p>
    <w:p w:rsidR="00C74901" w:rsidP="00984FCD">
      <w:pPr>
        <w:pStyle w:val="NoPaddingFontSize1"/>
      </w:pPr>
    </w:p>
    <w:p w:rsidR="00000000" w:rsidRPr="00984FCD" w:rsidP="00984FCD">
      <w:pPr>
        <w:pStyle w:val="Heading1"/>
      </w:pPr>
      <w:bookmarkStart w:id="3" w:name="O_1196368"/>
      <w:bookmarkEnd w:id="3"/>
      <w:r w:rsidRPr="00984FCD">
        <w:t>Pre-requisite Unit</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Not applicabl</w:t>
            </w:r>
            <w:r w:rsidRPr="00984FCD">
              <w:t>e.</w:t>
            </w:r>
          </w:p>
        </w:tc>
      </w:tr>
    </w:tbl>
    <w:p w:rsidR="00C74901" w:rsidP="00984FCD">
      <w:pPr>
        <w:pStyle w:val="NoPaddingFontSize1"/>
      </w:pPr>
    </w:p>
    <w:p w:rsidR="00C74901" w:rsidP="00984FCD">
      <w:pPr>
        <w:pStyle w:val="NoPaddingFontSize1"/>
      </w:pPr>
    </w:p>
    <w:p w:rsidR="00000000" w:rsidRPr="00984FCD" w:rsidP="00984FCD">
      <w:pPr>
        <w:pStyle w:val="Heading1"/>
      </w:pPr>
      <w:bookmarkStart w:id="4" w:name="O_1196367"/>
      <w:bookmarkEnd w:id="4"/>
      <w:r w:rsidRPr="00984FCD">
        <w:t>Competency Field</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D – Load Handling.</w:t>
            </w:r>
          </w:p>
        </w:tc>
      </w:tr>
    </w:tbl>
    <w:p w:rsidR="00C74901" w:rsidP="00984FCD">
      <w:pPr>
        <w:pStyle w:val="NoPaddingFontSize1"/>
      </w:pPr>
    </w:p>
    <w:p w:rsidR="00C74901" w:rsidP="00984FCD">
      <w:pPr>
        <w:pStyle w:val="NoPaddingFontSize1"/>
      </w:pPr>
    </w:p>
    <w:p w:rsidR="00000000" w:rsidRPr="00984FCD" w:rsidP="00984FCD">
      <w:pPr>
        <w:pStyle w:val="Heading1"/>
      </w:pPr>
      <w:bookmarkStart w:id="5" w:name="O_1196366"/>
      <w:bookmarkEnd w:id="5"/>
      <w:r w:rsidRPr="00984FCD">
        <w:t>Unit Sector</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Not applicable.</w:t>
            </w:r>
          </w:p>
        </w:tc>
      </w:tr>
    </w:tbl>
    <w:p w:rsidR="00C74901" w:rsidP="00984FCD">
      <w:pPr>
        <w:pStyle w:val="NoPaddingFontSize1"/>
      </w:pPr>
    </w:p>
    <w:p w:rsidR="00C74901" w:rsidP="00984FCD">
      <w:pPr>
        <w:pStyle w:val="NoPaddingFontSize1"/>
      </w:pPr>
    </w:p>
    <w:p w:rsidR="00000000" w:rsidRPr="00984FCD" w:rsidP="00984FCD">
      <w:pPr>
        <w:pStyle w:val="Heading1"/>
      </w:pPr>
      <w:bookmarkStart w:id="6" w:name="O_1196365"/>
      <w:bookmarkEnd w:id="6"/>
      <w:r w:rsidRPr="00984FCD">
        <w:t>Elements and Performance Criteria</w:t>
      </w:r>
    </w:p>
    <w:tbl>
      <w:tblPr>
        <w:tblW w:w="9450" w:type="dxa"/>
        <w:tblLayout w:type="fixed"/>
        <w:tblCellMar>
          <w:left w:w="62" w:type="dxa"/>
          <w:right w:w="62" w:type="dxa"/>
        </w:tblCellMar>
        <w:tblLook w:val="0000"/>
      </w:tblPr>
      <w:tblGrid>
        <w:gridCol w:w="365"/>
        <w:gridCol w:w="2155"/>
        <w:gridCol w:w="653"/>
        <w:gridCol w:w="6277"/>
      </w:tblGrid>
      <w:tr w:rsidTr="00984FCD">
        <w:tblPrEx>
          <w:tblW w:w="9450" w:type="dxa"/>
          <w:tblLayout w:type="fixed"/>
          <w:tblCellMar>
            <w:left w:w="62" w:type="dxa"/>
            <w:right w:w="62" w:type="dxa"/>
          </w:tblCellMar>
          <w:tblLook w:val="0000"/>
        </w:tblPrEx>
        <w:tc>
          <w:tcPr>
            <w:tcW w:w="2520" w:type="dxa"/>
            <w:gridSpan w:val="2"/>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ELEMENTS</w:t>
            </w:r>
          </w:p>
        </w:tc>
        <w:tc>
          <w:tcPr>
            <w:tcW w:w="6930" w:type="dxa"/>
            <w:gridSpan w:val="2"/>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PERFORMANCE CRITERIA</w:t>
            </w:r>
          </w:p>
        </w:tc>
      </w:tr>
      <w:tr w:rsidTr="00984FCD">
        <w:tblPrEx>
          <w:tblW w:w="9450" w:type="dxa"/>
          <w:tblLayout w:type="fixed"/>
          <w:tblCellMar>
            <w:left w:w="62" w:type="dxa"/>
            <w:right w:w="62" w:type="dxa"/>
          </w:tblCellMar>
          <w:tblLook w:val="0000"/>
        </w:tblPrEx>
        <w:tc>
          <w:tcPr>
            <w:tcW w:w="2520" w:type="dxa"/>
            <w:gridSpan w:val="2"/>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Elements describe the essential outcomes.</w:t>
            </w:r>
          </w:p>
        </w:tc>
        <w:tc>
          <w:tcPr>
            <w:tcW w:w="6930" w:type="dxa"/>
            <w:gridSpan w:val="2"/>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Performance criteria describe the performance needed to demonstrate achievement of the element.</w:t>
            </w:r>
          </w:p>
        </w:tc>
      </w:tr>
      <w:tr w:rsidTr="00984FCD">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1</w:t>
            </w:r>
          </w:p>
        </w:tc>
        <w:tc>
          <w:tcPr>
            <w:tcW w:w="215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Plan work</w:t>
            </w: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1.1</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Liquid transfer method is identified for loading and unloading as gravity or pressure</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1.2</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Job hazards are identified and required actions t</w:t>
            </w:r>
            <w:r w:rsidRPr="00984FCD">
              <w:t>aken to minimise, control or eliminate identified hazards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1.3</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Dangerous goods, hazardous materials or regulated waste requiring specialised handling are identified and relevant workplace procedures are taken into account when planning work</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1.4</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Precautions are undertaken to eliminate all ignition sources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1.5</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Traffic flow, vehicle positioning and work area conditions are assessed to ensure safe operation and no injury to people, or damage to equipment, loads or facilities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1.6</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Characteristics</w:t>
            </w:r>
            <w:r w:rsidRPr="00984FCD">
              <w:t xml:space="preserve"> of liquid, transfer and holding method are taken into account when evaluating procedural requirements, special precautions for method, equipment and, as required, appropriate attachments to transfer load</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1.7</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Potential occurrences in work area that may affect safety and efficiency of operations are reported to appropriate personnel</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1.8</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Liquid transfer is planned, taking into account requirements of load, transfer method, storage facility, transport mode, loa</w:t>
            </w:r>
            <w:r w:rsidRPr="00984FCD">
              <w:t>d weight, volume, viscosity and equipment capacity</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1.9</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Load is checked prior to and at completion of transfer to ensure ullage and/or maximum permitted capacity complies with current ADG Code</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1.10</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 xml:space="preserve">Adjustments are made </w:t>
            </w:r>
            <w:r w:rsidRPr="00984FCD">
              <w:t>to process to accommodate special requirements such as temperature control and combustion</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1.11</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Required personal protective equipment (PPE), signage, barriers and special precautions are identified in plan and utilised</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1.12</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Procedures to deal with spills, leakages and ruptures are identified</w:t>
            </w:r>
          </w:p>
        </w:tc>
      </w:tr>
      <w:tr w:rsidTr="00984FCD">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2</w:t>
            </w:r>
          </w:p>
        </w:tc>
        <w:tc>
          <w:tcPr>
            <w:tcW w:w="215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Transfer material</w:t>
            </w: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2.1</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Equipment is prepared and appropriate attachments are fitted</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2.2</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Equipment controls are checked for correct operational status before commencing transfer</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2.3</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Instruments and gauges are monitored during operations to ensure operation is in accordance with manufacturer specifications, workplace schedule and safety requirements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2.4</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Speed of operation is managed for safety and efficiency of materials movemen</w:t>
            </w:r>
            <w:r w:rsidRPr="00984FCD">
              <w:t>t and equipment operations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2.5</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Faults or damage to equipment are immediately reported to appropriate personnel</w:t>
            </w:r>
          </w:p>
        </w:tc>
      </w:tr>
      <w:tr w:rsidTr="00984FCD">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3</w:t>
            </w:r>
          </w:p>
        </w:tc>
        <w:tc>
          <w:tcPr>
            <w:tcW w:w="215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Monitor and operate controls</w:t>
            </w: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3.1</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Equipment controls are monitored and operated in accordance with manufacturer operating instructions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3.2</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Control systems are monitored in accordance with statutory authority regulations, manufacturer guidelines and site operating procedures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3.3</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Materials are moved without injury to personnel or damage to equipment or goods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3.4</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 xml:space="preserve">Faults are identified </w:t>
            </w:r>
            <w:r w:rsidRPr="00984FCD">
              <w:t>and reported in accordance with workplace procedures</w:t>
            </w:r>
          </w:p>
        </w:tc>
      </w:tr>
      <w:tr w:rsidTr="00984FCD">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4</w:t>
            </w:r>
          </w:p>
        </w:tc>
        <w:tc>
          <w:tcPr>
            <w:tcW w:w="2155" w:type="dxa"/>
            <w:vMerge w:val="restart"/>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rPr>
                <w:rStyle w:val="SpecialBold"/>
              </w:rPr>
              <w:t>Complete operations</w:t>
            </w: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4.1</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 xml:space="preserve">Equipment is shut down in accordance with manufacturer guidelines without injury to personnel or damage to equipment, loads or facilities in accordance </w:t>
            </w:r>
            <w:r w:rsidRPr="00984FCD">
              <w:t>with workplace procedures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4.2</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Clean up methods for transfer equipment are completed in accordance with workplace procedures</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4.3</w:t>
            </w:r>
          </w:p>
        </w:tc>
        <w:tc>
          <w:tcPr>
            <w:tcW w:w="6277"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t>Equipment is secured in accordance with securing procedures for appropriate equipment</w:t>
            </w:r>
          </w:p>
        </w:tc>
      </w:tr>
      <w:tr w:rsidTr="00984FCD">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984FCD">
            <w:pPr>
              <w:pStyle w:val="BodyText"/>
              <w:keepLines w:val="0"/>
            </w:pPr>
          </w:p>
        </w:tc>
        <w:tc>
          <w:tcPr>
            <w:tcW w:w="653" w:type="dxa"/>
            <w:tcBorders>
              <w:top w:val="nil"/>
              <w:left w:val="nil"/>
              <w:bottom w:val="nil"/>
              <w:right w:val="nil"/>
            </w:tcBorders>
            <w:tcMar>
              <w:top w:w="0" w:type="dxa"/>
              <w:left w:w="62" w:type="dxa"/>
              <w:bottom w:w="0" w:type="dxa"/>
              <w:right w:w="62" w:type="dxa"/>
            </w:tcMar>
          </w:tcPr>
          <w:p w:rsidR="00000000" w:rsidP="00984FCD">
            <w:pPr>
              <w:pStyle w:val="BodyText"/>
              <w:rPr>
                <w:lang w:val="en-NZ"/>
              </w:rPr>
            </w:pPr>
            <w:r w:rsidRPr="00984FCD">
              <w:rPr>
                <w:rStyle w:val="SpecialBold"/>
              </w:rPr>
              <w:t>4.4</w:t>
            </w:r>
          </w:p>
        </w:tc>
        <w:tc>
          <w:tcPr>
            <w:tcW w:w="627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Workplace documentation is completed and filed in accordance with workplace procedures</w:t>
            </w:r>
          </w:p>
        </w:tc>
      </w:tr>
    </w:tbl>
    <w:p w:rsidR="00C74901" w:rsidP="00984FCD">
      <w:pPr>
        <w:pStyle w:val="NoPaddingFontSize1"/>
      </w:pPr>
    </w:p>
    <w:p w:rsidR="00C74901" w:rsidP="00984FCD">
      <w:pPr>
        <w:pStyle w:val="NoPaddingFontSize1"/>
      </w:pPr>
    </w:p>
    <w:p w:rsidR="00000000" w:rsidRPr="00984FCD" w:rsidP="00984FCD">
      <w:pPr>
        <w:pStyle w:val="Heading1"/>
      </w:pPr>
      <w:bookmarkStart w:id="7" w:name="O_1196364"/>
      <w:bookmarkEnd w:id="7"/>
      <w:r w:rsidRPr="00984FCD">
        <w:t>Foundation Skills</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Foundation skills essential to performance are explicit in the performance criteria of this unit of competency.</w:t>
            </w:r>
          </w:p>
        </w:tc>
      </w:tr>
    </w:tbl>
    <w:p w:rsidR="00C74901" w:rsidP="00984FCD">
      <w:pPr>
        <w:pStyle w:val="NoPaddingFontSize1"/>
      </w:pPr>
    </w:p>
    <w:p w:rsidR="00C74901" w:rsidP="00984FCD">
      <w:pPr>
        <w:pStyle w:val="NoPaddingFontSize1"/>
      </w:pPr>
    </w:p>
    <w:p w:rsidR="00000000" w:rsidRPr="00984FCD" w:rsidP="00984FCD">
      <w:pPr>
        <w:pStyle w:val="Heading1"/>
      </w:pPr>
      <w:bookmarkStart w:id="8" w:name="O_1196363"/>
      <w:bookmarkEnd w:id="8"/>
      <w:r w:rsidRPr="00984FCD">
        <w:t>Range of Conditions</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Range is restricted to essential operating conditions and any other variables essential to the work environment.</w:t>
            </w:r>
          </w:p>
          <w:p w:rsidR="00000000" w:rsidRPr="00984FCD" w:rsidP="00984FCD">
            <w:pPr>
              <w:pStyle w:val="BodyText"/>
            </w:pPr>
            <w:r w:rsidRPr="00984FCD">
              <w:t>Non-essential conditions can be found in the TLI Transport and Logistics Training Package Companion Volume Impleme</w:t>
            </w:r>
            <w:r w:rsidRPr="00984FCD">
              <w:t>ntation Guide.</w:t>
            </w:r>
          </w:p>
        </w:tc>
      </w:tr>
    </w:tbl>
    <w:p w:rsidR="00C74901" w:rsidP="00984FCD">
      <w:pPr>
        <w:pStyle w:val="NoPaddingFontSize1"/>
      </w:pPr>
    </w:p>
    <w:p w:rsidR="00C74901" w:rsidP="00984FCD">
      <w:pPr>
        <w:pStyle w:val="NoPaddingFontSize1"/>
      </w:pPr>
    </w:p>
    <w:p w:rsidR="00000000" w:rsidRPr="00984FCD" w:rsidP="00984FCD">
      <w:pPr>
        <w:pStyle w:val="Heading1"/>
      </w:pPr>
      <w:bookmarkStart w:id="9" w:name="O_1196362"/>
      <w:bookmarkEnd w:id="9"/>
      <w:r w:rsidRPr="00984FCD">
        <w:t>Unit Mapping Information</w:t>
      </w:r>
    </w:p>
    <w:tbl>
      <w:tblPr>
        <w:tblW w:w="9497" w:type="dxa"/>
        <w:tblLayout w:type="fixed"/>
        <w:tblCellMar>
          <w:left w:w="62" w:type="dxa"/>
          <w:right w:w="62" w:type="dxa"/>
        </w:tblCellMar>
        <w:tblLook w:val="0000"/>
      </w:tblPr>
      <w:tblGrid>
        <w:gridCol w:w="9497"/>
      </w:tblGrid>
      <w:tr w:rsidTr="00984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FCD" w:rsidP="00984FCD">
            <w:pPr>
              <w:pStyle w:val="BodyText"/>
            </w:pPr>
            <w:r w:rsidRPr="00984FCD">
              <w:t>This unit replaces and is equivalent to TLID3024A Use specialised liquid bulk transfer equipment (gravity/pressurised).</w:t>
            </w:r>
          </w:p>
        </w:tc>
      </w:tr>
    </w:tbl>
    <w:p w:rsidR="00C74901" w:rsidP="00984FCD">
      <w:pPr>
        <w:pStyle w:val="NoPaddingFontSize1"/>
      </w:pPr>
    </w:p>
    <w:p w:rsidR="00C74901" w:rsidP="00984FCD">
      <w:pPr>
        <w:pStyle w:val="NoPaddingFontSize1"/>
      </w:pPr>
    </w:p>
    <w:p w:rsidR="00000000" w:rsidRPr="00984FCD" w:rsidP="00984FCD">
      <w:pPr>
        <w:pStyle w:val="Heading1"/>
      </w:pPr>
      <w:bookmarkStart w:id="10" w:name="O_1196371"/>
      <w:bookmarkEnd w:id="10"/>
      <w:r w:rsidRPr="00984FCD">
        <w:t>Links</w:t>
      </w:r>
    </w:p>
    <w:p w:rsidR="00000000" w:rsidRPr="00984FCD" w:rsidP="00C74901">
      <w:pPr>
        <w:pStyle w:val="BodyText"/>
      </w:pPr>
      <w:r w:rsidRPr="00984FCD">
        <w:t>Companion Volume Implementation Guides are fo</w:t>
      </w:r>
      <w:r w:rsidRPr="00984FCD">
        <w:t xml:space="preserve">und in VETNet - </w:t>
      </w:r>
      <w:r>
        <w:fldChar w:fldCharType="begin"/>
      </w:r>
      <w:r>
        <w:instrText xml:space="preserve"> HYPERLINK "https://vetnet.gov.au/Pages/TrainingDocs.aspx?q=df441c6e-213d-43e3-874c-0b3f7036d851" </w:instrText>
      </w:r>
      <w:r>
        <w:fldChar w:fldCharType="separate"/>
      </w:r>
      <w:r w:rsidRPr="00957F36">
        <w:rPr>
          <w:rStyle w:val="Hyperlink"/>
        </w:rPr>
        <w:t>https://vetnet.gov.au/Pages/TrainingDocs.aspx?q=df441c6e-213d-43e3-874c-0b3f7036d851</w:t>
      </w:r>
      <w:r>
        <w:fldChar w:fldCharType="end"/>
      </w:r>
    </w:p>
    <w:p w:rsidR="00000000" w:rsidRPr="00984FCD" w:rsidP="00984FCD"/>
    <w:sectPr w:rsidSect="00984F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CD" w:rsidRPr="00C74901" w:rsidP="00C74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1" w:rsidP="00984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901" w:rsidP="00984F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74901" w:rsidP="00984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FCD" w:rsidRPr="00C74901" w:rsidP="00C74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1" w:rsidRPr="002D2AF8" w:rsidP="00984FCD">
    <w:pPr>
      <w:pStyle w:val="Header"/>
      <w:framePr w:wrap="around"/>
    </w:pPr>
    <w:r>
      <w:fldChar w:fldCharType="begin"/>
    </w:r>
    <w:r>
      <w:instrText xml:space="preserve"> TITLE   \* MERGEFORMAT </w:instrText>
    </w:r>
    <w:r>
      <w:fldChar w:fldCharType="separate"/>
    </w:r>
    <w:r>
      <w:t>TLID3024 Use specialised liquid bulk transfer equipment (gravity/pressurised)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74901" w:rsidP="00984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8C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7A8F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FCD"/>
    <w:pPr>
      <w:spacing w:before="360" w:after="60"/>
      <w:outlineLvl w:val="0"/>
    </w:pPr>
    <w:rPr>
      <w:sz w:val="32"/>
    </w:rPr>
  </w:style>
  <w:style w:type="paragraph" w:styleId="Heading2">
    <w:name w:val="heading 2"/>
    <w:basedOn w:val="HeadingBase"/>
    <w:next w:val="BodyText"/>
    <w:link w:val="Heading2Char"/>
    <w:qFormat/>
    <w:rsid w:val="00984FCD"/>
    <w:pPr>
      <w:keepLines/>
      <w:spacing w:before="240" w:after="120"/>
      <w:outlineLvl w:val="1"/>
    </w:pPr>
    <w:rPr>
      <w:sz w:val="28"/>
      <w:szCs w:val="40"/>
    </w:rPr>
  </w:style>
  <w:style w:type="paragraph" w:styleId="Heading3">
    <w:name w:val="heading 3"/>
    <w:basedOn w:val="HeadingBase"/>
    <w:next w:val="BodyText"/>
    <w:link w:val="Heading3Char"/>
    <w:qFormat/>
    <w:rsid w:val="00984FCD"/>
    <w:pPr>
      <w:spacing w:before="180" w:after="120"/>
      <w:outlineLvl w:val="2"/>
    </w:pPr>
    <w:rPr>
      <w:spacing w:val="-10"/>
      <w:kern w:val="32"/>
    </w:rPr>
  </w:style>
  <w:style w:type="paragraph" w:styleId="Heading4">
    <w:name w:val="heading 4"/>
    <w:basedOn w:val="HeadingBase"/>
    <w:next w:val="BodyText"/>
    <w:link w:val="Heading4Char"/>
    <w:qFormat/>
    <w:rsid w:val="00984FCD"/>
    <w:pPr>
      <w:spacing w:before="160" w:after="120"/>
      <w:outlineLvl w:val="3"/>
    </w:pPr>
    <w:rPr>
      <w:sz w:val="22"/>
    </w:rPr>
  </w:style>
  <w:style w:type="paragraph" w:styleId="Heading5">
    <w:name w:val="heading 5"/>
    <w:basedOn w:val="HeadingBase"/>
    <w:next w:val="Normal"/>
    <w:link w:val="Heading5Char"/>
    <w:qFormat/>
    <w:rsid w:val="00984FCD"/>
    <w:pPr>
      <w:spacing w:before="80"/>
      <w:outlineLvl w:val="4"/>
    </w:pPr>
    <w:rPr>
      <w:color w:val="918585"/>
      <w:sz w:val="20"/>
    </w:rPr>
  </w:style>
  <w:style w:type="paragraph" w:styleId="Heading6">
    <w:name w:val="heading 6"/>
    <w:basedOn w:val="HeadingBase"/>
    <w:next w:val="Normal"/>
    <w:link w:val="Heading6Char"/>
    <w:qFormat/>
    <w:rsid w:val="00984FCD"/>
    <w:pPr>
      <w:spacing w:before="60"/>
      <w:outlineLvl w:val="5"/>
    </w:pPr>
    <w:rPr>
      <w:color w:val="918585"/>
      <w:sz w:val="20"/>
    </w:rPr>
  </w:style>
  <w:style w:type="paragraph" w:styleId="Heading7">
    <w:name w:val="heading 7"/>
    <w:basedOn w:val="Normal"/>
    <w:next w:val="Normal"/>
    <w:link w:val="Heading7Char"/>
    <w:qFormat/>
    <w:rsid w:val="00984FCD"/>
    <w:pPr>
      <w:ind w:left="720"/>
      <w:outlineLvl w:val="6"/>
    </w:pPr>
    <w:rPr>
      <w:i/>
    </w:rPr>
  </w:style>
  <w:style w:type="paragraph" w:styleId="Heading8">
    <w:name w:val="heading 8"/>
    <w:basedOn w:val="Normal"/>
    <w:next w:val="Normal"/>
    <w:link w:val="Heading8Char"/>
    <w:qFormat/>
    <w:rsid w:val="00984FCD"/>
    <w:pPr>
      <w:ind w:left="720"/>
      <w:outlineLvl w:val="7"/>
    </w:pPr>
    <w:rPr>
      <w:i/>
    </w:rPr>
  </w:style>
  <w:style w:type="paragraph" w:styleId="Heading9">
    <w:name w:val="heading 9"/>
    <w:basedOn w:val="Normal"/>
    <w:next w:val="Normal"/>
    <w:link w:val="Heading9Char"/>
    <w:qFormat/>
    <w:rsid w:val="00984FCD"/>
    <w:pPr>
      <w:ind w:left="720"/>
      <w:outlineLvl w:val="8"/>
    </w:pPr>
    <w:rPr>
      <w:i/>
    </w:rPr>
  </w:style>
  <w:style w:type="character" w:default="1" w:styleId="DefaultParagraphFont">
    <w:name w:val="Default Paragraph Font"/>
    <w:uiPriority w:val="1"/>
    <w:unhideWhenUsed/>
    <w:rsid w:val="00984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FCD"/>
  </w:style>
  <w:style w:type="character" w:customStyle="1" w:styleId="Heading1Char">
    <w:name w:val="Heading 1 Char"/>
    <w:basedOn w:val="DefaultParagraphFont"/>
    <w:link w:val="Heading1"/>
    <w:rsid w:val="00984FCD"/>
    <w:rPr>
      <w:rFonts w:ascii="Times New Roman" w:eastAsia="Times New Roman" w:hAnsi="Times New Roman" w:cs="Times New Roman"/>
      <w:b/>
      <w:sz w:val="32"/>
      <w:szCs w:val="20"/>
      <w:lang w:eastAsia="en-US"/>
    </w:rPr>
  </w:style>
  <w:style w:type="paragraph" w:styleId="BodyText">
    <w:name w:val="Body Text"/>
    <w:basedOn w:val="Normal"/>
    <w:link w:val="BodyTextChar"/>
    <w:rsid w:val="00984F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FCD"/>
    <w:rPr>
      <w:rFonts w:ascii="Times New Roman" w:eastAsia="Times New Roman" w:hAnsi="Times New Roman" w:cs="Times New Roman"/>
      <w:sz w:val="24"/>
      <w:lang w:eastAsia="en-US"/>
    </w:rPr>
  </w:style>
  <w:style w:type="character" w:customStyle="1" w:styleId="SpecialBold">
    <w:name w:val="Special Bold"/>
    <w:basedOn w:val="DefaultParagraphFont"/>
    <w:rsid w:val="00984FCD"/>
    <w:rPr>
      <w:b/>
      <w:spacing w:val="0"/>
    </w:rPr>
  </w:style>
  <w:style w:type="paragraph" w:styleId="ListBullet2">
    <w:name w:val="List Bullet 2"/>
    <w:basedOn w:val="List2"/>
    <w:rsid w:val="00984FCD"/>
    <w:pPr>
      <w:numPr>
        <w:numId w:val="12"/>
      </w:numPr>
      <w:tabs>
        <w:tab w:val="clear" w:pos="680"/>
      </w:tabs>
    </w:pPr>
  </w:style>
  <w:style w:type="paragraph" w:customStyle="1" w:styleId="SuperHeading">
    <w:name w:val="SuperHeading"/>
    <w:basedOn w:val="Normal"/>
    <w:rsid w:val="00984FCD"/>
    <w:pPr>
      <w:spacing w:before="240" w:after="120"/>
      <w:outlineLvl w:val="0"/>
    </w:pPr>
    <w:rPr>
      <w:rFonts w:ascii="Times New Roman" w:hAnsi="Times New Roman"/>
      <w:b/>
      <w:sz w:val="32"/>
    </w:rPr>
  </w:style>
  <w:style w:type="paragraph" w:customStyle="1" w:styleId="AllowPageBreak">
    <w:name w:val="AllowPageBreak"/>
    <w:rsid w:val="00984F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FCD"/>
    <w:rPr>
      <w:rFonts w:ascii="Courier New" w:eastAsia="Times New Roman" w:hAnsi="Courier New" w:cs="Times New Roman"/>
      <w:i/>
      <w:szCs w:val="20"/>
      <w:lang w:eastAsia="en-US"/>
    </w:rPr>
  </w:style>
  <w:style w:type="paragraph" w:customStyle="1" w:styleId="HeadingBase">
    <w:name w:val="Heading Base"/>
    <w:rsid w:val="00984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FCD"/>
    <w:pPr>
      <w:tabs>
        <w:tab w:val="right" w:leader="dot" w:pos="9072"/>
      </w:tabs>
      <w:ind w:left="567"/>
    </w:pPr>
    <w:rPr>
      <w:szCs w:val="22"/>
    </w:rPr>
  </w:style>
  <w:style w:type="paragraph" w:customStyle="1" w:styleId="TOCBase">
    <w:name w:val="TOC Base"/>
    <w:rsid w:val="00984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FCD"/>
    <w:pPr>
      <w:tabs>
        <w:tab w:val="right" w:leader="dot" w:pos="9072"/>
      </w:tabs>
      <w:spacing w:before="40" w:after="40"/>
      <w:ind w:left="284"/>
    </w:pPr>
    <w:rPr>
      <w:rFonts w:ascii="Times New Roman" w:hAnsi="Times New Roman"/>
    </w:rPr>
  </w:style>
  <w:style w:type="paragraph" w:styleId="TOC1">
    <w:name w:val="toc 1"/>
    <w:basedOn w:val="TOCBase"/>
    <w:next w:val="Normal"/>
    <w:rsid w:val="00984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FCD"/>
    <w:rPr>
      <w:rFonts w:ascii="Times New Roman" w:eastAsia="Times New Roman" w:hAnsi="Times New Roman" w:cs="Times New Roman"/>
      <w:sz w:val="16"/>
      <w:lang w:eastAsia="en-US"/>
    </w:rPr>
  </w:style>
  <w:style w:type="paragraph" w:styleId="Title">
    <w:name w:val="Title"/>
    <w:basedOn w:val="HeadingBase"/>
    <w:link w:val="TitleChar"/>
    <w:qFormat/>
    <w:rsid w:val="00984FCD"/>
    <w:pPr>
      <w:spacing w:before="5040"/>
      <w:jc w:val="center"/>
    </w:pPr>
    <w:rPr>
      <w:sz w:val="48"/>
      <w:szCs w:val="72"/>
      <w:lang w:val="en-US"/>
    </w:rPr>
  </w:style>
  <w:style w:type="character" w:customStyle="1" w:styleId="TitleChar">
    <w:name w:val="Title Char"/>
    <w:basedOn w:val="DefaultParagraphFont"/>
    <w:link w:val="Title"/>
    <w:rsid w:val="00984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FCD"/>
    <w:pPr>
      <w:tabs>
        <w:tab w:val="left" w:pos="3600"/>
        <w:tab w:val="left" w:pos="3958"/>
      </w:tabs>
    </w:pPr>
  </w:style>
  <w:style w:type="paragraph" w:styleId="List">
    <w:name w:val="List"/>
    <w:basedOn w:val="BodyText"/>
    <w:next w:val="BodyText"/>
    <w:rsid w:val="00984FCD"/>
    <w:pPr>
      <w:tabs>
        <w:tab w:val="left" w:pos="340"/>
      </w:tabs>
      <w:spacing w:before="60" w:after="60"/>
      <w:ind w:left="340" w:hanging="340"/>
    </w:pPr>
  </w:style>
  <w:style w:type="paragraph" w:styleId="ListBullet">
    <w:name w:val="List Bullet"/>
    <w:basedOn w:val="List"/>
    <w:rsid w:val="00984FCD"/>
    <w:pPr>
      <w:numPr>
        <w:numId w:val="11"/>
      </w:numPr>
      <w:tabs>
        <w:tab w:val="clear" w:pos="340"/>
      </w:tabs>
      <w:spacing w:before="40" w:after="40"/>
    </w:pPr>
  </w:style>
  <w:style w:type="paragraph" w:customStyle="1" w:styleId="Note">
    <w:name w:val="Note"/>
    <w:basedOn w:val="BodyText"/>
    <w:rsid w:val="00984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FCD"/>
    <w:pPr>
      <w:framePr w:wrap="auto" w:hAnchor="text" w:y="6049"/>
    </w:pPr>
    <w:rPr>
      <w:color w:val="000000"/>
      <w:sz w:val="40"/>
    </w:rPr>
  </w:style>
  <w:style w:type="paragraph" w:customStyle="1" w:styleId="TOCTitle">
    <w:name w:val="TOCTitle"/>
    <w:basedOn w:val="Heading1"/>
    <w:rsid w:val="00984FCD"/>
    <w:pPr>
      <w:spacing w:after="240"/>
      <w:jc w:val="center"/>
      <w:outlineLvl w:val="9"/>
    </w:pPr>
    <w:rPr>
      <w:caps/>
    </w:rPr>
  </w:style>
  <w:style w:type="paragraph" w:customStyle="1" w:styleId="Version">
    <w:name w:val="Version"/>
    <w:rsid w:val="00984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FCD"/>
    <w:pPr>
      <w:keepNext w:val="0"/>
      <w:tabs>
        <w:tab w:val="right" w:pos="4176"/>
      </w:tabs>
      <w:ind w:left="198" w:hanging="198"/>
    </w:pPr>
    <w:rPr>
      <w:rFonts w:ascii="Garamond" w:hAnsi="Garamond"/>
    </w:rPr>
  </w:style>
  <w:style w:type="paragraph" w:styleId="IndexHeading">
    <w:name w:val="index heading"/>
    <w:basedOn w:val="Normal"/>
    <w:next w:val="Index1"/>
    <w:semiHidden/>
    <w:rsid w:val="00984FCD"/>
    <w:pPr>
      <w:spacing w:before="120" w:after="120"/>
    </w:pPr>
    <w:rPr>
      <w:rFonts w:ascii="Arial" w:hAnsi="Arial"/>
      <w:b/>
      <w:color w:val="918585"/>
      <w:sz w:val="24"/>
    </w:rPr>
  </w:style>
  <w:style w:type="paragraph" w:styleId="Header">
    <w:name w:val="header"/>
    <w:basedOn w:val="Normal"/>
    <w:link w:val="HeaderChar"/>
    <w:rsid w:val="00984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FCD"/>
    <w:rPr>
      <w:rFonts w:ascii="Times New Roman" w:eastAsia="Times New Roman" w:hAnsi="Times New Roman" w:cs="Times New Roman"/>
      <w:sz w:val="16"/>
      <w:szCs w:val="20"/>
      <w:lang w:val="en-GB" w:eastAsia="en-US"/>
    </w:rPr>
  </w:style>
  <w:style w:type="paragraph" w:customStyle="1" w:styleId="Chapter">
    <w:name w:val="Chapter"/>
    <w:basedOn w:val="Normal"/>
    <w:rsid w:val="00984FCD"/>
    <w:pPr>
      <w:spacing w:before="240"/>
    </w:pPr>
    <w:rPr>
      <w:rFonts w:ascii="Times New Roman" w:hAnsi="Times New Roman"/>
      <w:smallCaps/>
      <w:spacing w:val="80"/>
      <w:sz w:val="28"/>
    </w:rPr>
  </w:style>
  <w:style w:type="paragraph" w:customStyle="1" w:styleId="InChapter">
    <w:name w:val="InChapter"/>
    <w:basedOn w:val="Heading3"/>
    <w:rsid w:val="00984FCD"/>
    <w:pPr>
      <w:spacing w:after="240"/>
      <w:outlineLvl w:val="9"/>
    </w:pPr>
    <w:rPr>
      <w:noProof/>
    </w:rPr>
  </w:style>
  <w:style w:type="paragraph" w:styleId="Index2">
    <w:name w:val="index 2"/>
    <w:basedOn w:val="Normal"/>
    <w:next w:val="Normal"/>
    <w:semiHidden/>
    <w:rsid w:val="00984FCD"/>
    <w:pPr>
      <w:tabs>
        <w:tab w:val="right" w:pos="4176"/>
      </w:tabs>
      <w:ind w:left="568" w:hanging="284"/>
    </w:pPr>
    <w:rPr>
      <w:rFonts w:ascii="Garamond" w:hAnsi="Garamond"/>
    </w:rPr>
  </w:style>
  <w:style w:type="paragraph" w:customStyle="1" w:styleId="Byline">
    <w:name w:val="Byline"/>
    <w:rsid w:val="00984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FCD"/>
    <w:pPr>
      <w:tabs>
        <w:tab w:val="clear" w:pos="3600"/>
        <w:tab w:val="clear" w:pos="3958"/>
      </w:tabs>
      <w:jc w:val="right"/>
    </w:pPr>
  </w:style>
  <w:style w:type="character" w:styleId="Emphasis">
    <w:name w:val="Emphasis"/>
    <w:basedOn w:val="DefaultParagraphFont"/>
    <w:qFormat/>
    <w:rsid w:val="00984FCD"/>
    <w:rPr>
      <w:i/>
    </w:rPr>
  </w:style>
  <w:style w:type="paragraph" w:styleId="Caption">
    <w:name w:val="caption"/>
    <w:basedOn w:val="BodyText"/>
    <w:next w:val="Normal"/>
    <w:qFormat/>
    <w:rsid w:val="00984FCD"/>
    <w:pPr>
      <w:framePr w:w="2268" w:hSpace="181" w:vSpace="181" w:wrap="around" w:vAnchor="text" w:hAnchor="page" w:x="1135" w:y="285" w:anchorLock="1"/>
    </w:pPr>
    <w:rPr>
      <w:i/>
    </w:rPr>
  </w:style>
  <w:style w:type="paragraph" w:customStyle="1" w:styleId="MiniTOCTitle">
    <w:name w:val="MiniTOCTitle"/>
    <w:basedOn w:val="Heading4"/>
    <w:rsid w:val="00984FCD"/>
    <w:pPr>
      <w:spacing w:before="240"/>
      <w:outlineLvl w:val="9"/>
    </w:pPr>
    <w:rPr>
      <w:noProof/>
      <w:sz w:val="24"/>
    </w:rPr>
  </w:style>
  <w:style w:type="paragraph" w:customStyle="1" w:styleId="MiniTOCItem">
    <w:name w:val="MiniTOCItem"/>
    <w:basedOn w:val="ListBullet"/>
    <w:rsid w:val="00984FCD"/>
    <w:pPr>
      <w:numPr>
        <w:numId w:val="0"/>
      </w:numPr>
      <w:tabs>
        <w:tab w:val="right" w:leader="dot" w:pos="6521"/>
      </w:tabs>
      <w:spacing w:before="0" w:after="0"/>
    </w:pPr>
  </w:style>
  <w:style w:type="paragraph" w:customStyle="1" w:styleId="TOFTitle">
    <w:name w:val="TOFTitle"/>
    <w:basedOn w:val="TOCTitle"/>
    <w:rsid w:val="00984FCD"/>
  </w:style>
  <w:style w:type="paragraph" w:styleId="TableofFigures">
    <w:name w:val="table of figures"/>
    <w:basedOn w:val="Normal"/>
    <w:next w:val="Normal"/>
    <w:semiHidden/>
    <w:rsid w:val="00984FCD"/>
    <w:pPr>
      <w:tabs>
        <w:tab w:val="right" w:leader="dot" w:pos="9072"/>
      </w:tabs>
      <w:ind w:left="970" w:hanging="403"/>
    </w:pPr>
    <w:rPr>
      <w:rFonts w:ascii="Times New Roman" w:hAnsi="Times New Roman"/>
      <w:b/>
    </w:rPr>
  </w:style>
  <w:style w:type="paragraph" w:styleId="ListNumber">
    <w:name w:val="List Number"/>
    <w:basedOn w:val="List"/>
    <w:rsid w:val="00984FCD"/>
    <w:pPr>
      <w:numPr>
        <w:numId w:val="14"/>
      </w:numPr>
      <w:tabs>
        <w:tab w:val="clear" w:pos="340"/>
      </w:tabs>
    </w:pPr>
  </w:style>
  <w:style w:type="character" w:customStyle="1" w:styleId="WingdingSymbols">
    <w:name w:val="Wingding Symbols"/>
    <w:rsid w:val="00984FCD"/>
    <w:rPr>
      <w:rFonts w:ascii="Wingdings" w:hAnsi="Wingdings"/>
    </w:rPr>
  </w:style>
  <w:style w:type="paragraph" w:customStyle="1" w:styleId="TableHeading">
    <w:name w:val="Table Heading"/>
    <w:basedOn w:val="HeadingBase"/>
    <w:rsid w:val="00984FCD"/>
    <w:pPr>
      <w:keepLines/>
      <w:pBdr>
        <w:bottom w:val="single" w:sz="6" w:space="1" w:color="918585"/>
      </w:pBdr>
      <w:spacing w:before="240"/>
    </w:pPr>
  </w:style>
  <w:style w:type="character" w:customStyle="1" w:styleId="HotSpot">
    <w:name w:val="HotSpot"/>
    <w:rsid w:val="00984FCD"/>
    <w:rPr>
      <w:color w:val="0033CC"/>
      <w:u w:val="none"/>
    </w:rPr>
  </w:style>
  <w:style w:type="paragraph" w:customStyle="1" w:styleId="BodyTextRight">
    <w:name w:val="Body Text Right"/>
    <w:basedOn w:val="BodyText"/>
    <w:rsid w:val="00984FCD"/>
    <w:pPr>
      <w:spacing w:before="0" w:after="0"/>
      <w:jc w:val="right"/>
    </w:pPr>
  </w:style>
  <w:style w:type="paragraph" w:styleId="Index3">
    <w:name w:val="index 3"/>
    <w:basedOn w:val="ListNumber2"/>
    <w:next w:val="Normal"/>
    <w:semiHidden/>
    <w:rsid w:val="00984FCD"/>
    <w:pPr>
      <w:numPr>
        <w:numId w:val="0"/>
      </w:numPr>
      <w:tabs>
        <w:tab w:val="right" w:leader="dot" w:pos="4176"/>
      </w:tabs>
    </w:pPr>
  </w:style>
  <w:style w:type="paragraph" w:styleId="ListNumber2">
    <w:name w:val="List Number 2"/>
    <w:basedOn w:val="List2"/>
    <w:rsid w:val="00984FCD"/>
    <w:pPr>
      <w:numPr>
        <w:numId w:val="9"/>
      </w:numPr>
      <w:tabs>
        <w:tab w:val="clear" w:pos="1060"/>
      </w:tabs>
    </w:pPr>
  </w:style>
  <w:style w:type="paragraph" w:customStyle="1" w:styleId="MarginNote">
    <w:name w:val="Margin Note"/>
    <w:basedOn w:val="BodyText"/>
    <w:rsid w:val="00984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FCD"/>
    <w:rPr>
      <w:sz w:val="32"/>
    </w:rPr>
  </w:style>
  <w:style w:type="paragraph" w:customStyle="1" w:styleId="HeadingProcedure">
    <w:name w:val="Heading Procedure"/>
    <w:basedOn w:val="HeadingBase"/>
    <w:next w:val="Normal"/>
    <w:rsid w:val="00984FCD"/>
    <w:pPr>
      <w:tabs>
        <w:tab w:val="left" w:pos="0"/>
      </w:tabs>
      <w:spacing w:before="120" w:after="60"/>
    </w:pPr>
    <w:rPr>
      <w:i/>
      <w:color w:val="918585"/>
      <w:sz w:val="22"/>
    </w:rPr>
  </w:style>
  <w:style w:type="paragraph" w:customStyle="1" w:styleId="TableBodyText">
    <w:name w:val="Table Body Text"/>
    <w:basedOn w:val="BodyText"/>
    <w:rsid w:val="00984FCD"/>
    <w:pPr>
      <w:spacing w:before="60" w:after="60"/>
    </w:pPr>
  </w:style>
  <w:style w:type="paragraph" w:styleId="ListContinue">
    <w:name w:val="List Continue"/>
    <w:basedOn w:val="List"/>
    <w:rsid w:val="00984FCD"/>
    <w:pPr>
      <w:ind w:firstLine="0"/>
    </w:pPr>
  </w:style>
  <w:style w:type="paragraph" w:customStyle="1" w:styleId="ListNote">
    <w:name w:val="List Note"/>
    <w:basedOn w:val="List"/>
    <w:rsid w:val="00984FCD"/>
    <w:pPr>
      <w:pBdr>
        <w:top w:val="single" w:sz="6" w:space="2" w:color="918585"/>
        <w:bottom w:val="single" w:sz="6" w:space="2" w:color="918585"/>
      </w:pBdr>
      <w:tabs>
        <w:tab w:val="left" w:pos="1021"/>
      </w:tabs>
      <w:ind w:firstLine="0"/>
    </w:pPr>
  </w:style>
  <w:style w:type="paragraph" w:customStyle="1" w:styleId="Warning">
    <w:name w:val="Warning"/>
    <w:basedOn w:val="BodyText"/>
    <w:rsid w:val="00984FCD"/>
    <w:pPr>
      <w:shd w:val="clear" w:color="auto" w:fill="D9D9D9"/>
      <w:tabs>
        <w:tab w:val="left" w:pos="992"/>
      </w:tabs>
      <w:ind w:left="119" w:right="119"/>
    </w:pPr>
    <w:rPr>
      <w:sz w:val="20"/>
    </w:rPr>
  </w:style>
  <w:style w:type="paragraph" w:customStyle="1" w:styleId="MarginIcons">
    <w:name w:val="Margin Icons"/>
    <w:basedOn w:val="BodyText"/>
    <w:rsid w:val="00984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FCD"/>
    <w:rPr>
      <w:rFonts w:ascii="Courier New" w:hAnsi="Courier New"/>
    </w:rPr>
  </w:style>
  <w:style w:type="paragraph" w:customStyle="1" w:styleId="NoteBullet">
    <w:name w:val="Note Bullet"/>
    <w:basedOn w:val="Note"/>
    <w:rsid w:val="00984FCD"/>
    <w:pPr>
      <w:tabs>
        <w:tab w:val="clear" w:pos="680"/>
      </w:tabs>
      <w:spacing w:before="60" w:after="60"/>
    </w:pPr>
  </w:style>
  <w:style w:type="paragraph" w:customStyle="1" w:styleId="SubHeading2">
    <w:name w:val="SubHeading2"/>
    <w:basedOn w:val="HeadingBase"/>
    <w:rsid w:val="00984FCD"/>
    <w:pPr>
      <w:spacing w:before="240" w:after="60"/>
    </w:pPr>
    <w:rPr>
      <w:sz w:val="20"/>
    </w:rPr>
  </w:style>
  <w:style w:type="paragraph" w:customStyle="1" w:styleId="SubHeading1">
    <w:name w:val="SubHeading1"/>
    <w:basedOn w:val="HeadingBase"/>
    <w:rsid w:val="00984FCD"/>
    <w:pPr>
      <w:spacing w:before="240" w:after="60"/>
    </w:pPr>
    <w:rPr>
      <w:color w:val="918585"/>
      <w:sz w:val="22"/>
    </w:rPr>
  </w:style>
  <w:style w:type="paragraph" w:customStyle="1" w:styleId="SideHeading">
    <w:name w:val="Side Heading"/>
    <w:basedOn w:val="HeadingBase"/>
    <w:rsid w:val="00984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FCD"/>
    <w:pPr>
      <w:numPr>
        <w:numId w:val="10"/>
      </w:numPr>
    </w:pPr>
  </w:style>
  <w:style w:type="paragraph" w:styleId="PlainText">
    <w:name w:val="Plain Text"/>
    <w:basedOn w:val="Normal"/>
    <w:link w:val="PlainTextChar"/>
    <w:rsid w:val="00984FCD"/>
    <w:rPr>
      <w:sz w:val="20"/>
    </w:rPr>
  </w:style>
  <w:style w:type="character" w:customStyle="1" w:styleId="PlainTextChar">
    <w:name w:val="Plain Text Char"/>
    <w:basedOn w:val="DefaultParagraphFont"/>
    <w:link w:val="PlainText"/>
    <w:rsid w:val="00984FCD"/>
    <w:rPr>
      <w:rFonts w:ascii="Courier New" w:eastAsia="Times New Roman" w:hAnsi="Courier New" w:cs="Times New Roman"/>
      <w:sz w:val="20"/>
      <w:szCs w:val="20"/>
      <w:lang w:eastAsia="en-US"/>
    </w:rPr>
  </w:style>
  <w:style w:type="character" w:customStyle="1" w:styleId="MenuOption">
    <w:name w:val="Menu Option"/>
    <w:basedOn w:val="DefaultParagraphFont"/>
    <w:rsid w:val="00984FCD"/>
    <w:rPr>
      <w:b/>
      <w:smallCaps/>
    </w:rPr>
  </w:style>
  <w:style w:type="paragraph" w:customStyle="1" w:styleId="TableListNumber">
    <w:name w:val="Table List Number"/>
    <w:basedOn w:val="ListNumber"/>
    <w:rsid w:val="00984FCD"/>
    <w:pPr>
      <w:numPr>
        <w:numId w:val="0"/>
      </w:numPr>
    </w:pPr>
  </w:style>
  <w:style w:type="paragraph" w:styleId="TOC4">
    <w:name w:val="toc 4"/>
    <w:basedOn w:val="TOCBase"/>
    <w:next w:val="Normal"/>
    <w:semiHidden/>
    <w:rsid w:val="00984FCD"/>
    <w:pPr>
      <w:tabs>
        <w:tab w:val="right" w:leader="dot" w:pos="9071"/>
      </w:tabs>
      <w:ind w:left="1701"/>
    </w:pPr>
  </w:style>
  <w:style w:type="paragraph" w:customStyle="1" w:styleId="ListAlpha">
    <w:name w:val="List Alpha"/>
    <w:basedOn w:val="List"/>
    <w:rsid w:val="00984FCD"/>
    <w:pPr>
      <w:numPr>
        <w:numId w:val="8"/>
      </w:numPr>
    </w:pPr>
  </w:style>
  <w:style w:type="paragraph" w:customStyle="1" w:styleId="ListAlpha2">
    <w:name w:val="List Alpha 2"/>
    <w:basedOn w:val="List2"/>
    <w:rsid w:val="00984FCD"/>
    <w:pPr>
      <w:numPr>
        <w:numId w:val="7"/>
      </w:numPr>
    </w:pPr>
  </w:style>
  <w:style w:type="paragraph" w:styleId="List2">
    <w:name w:val="List 2"/>
    <w:basedOn w:val="BodyText"/>
    <w:rsid w:val="00984FCD"/>
    <w:pPr>
      <w:tabs>
        <w:tab w:val="left" w:pos="680"/>
      </w:tabs>
      <w:spacing w:before="60" w:after="60"/>
      <w:ind w:left="680" w:hanging="340"/>
    </w:pPr>
  </w:style>
  <w:style w:type="paragraph" w:styleId="List3">
    <w:name w:val="List 3"/>
    <w:basedOn w:val="BodyText"/>
    <w:rsid w:val="00984FCD"/>
    <w:pPr>
      <w:tabs>
        <w:tab w:val="left" w:pos="1021"/>
      </w:tabs>
      <w:spacing w:before="60" w:after="60"/>
      <w:ind w:left="1020" w:hanging="340"/>
    </w:pPr>
  </w:style>
  <w:style w:type="paragraph" w:styleId="List4">
    <w:name w:val="List 4"/>
    <w:basedOn w:val="BodyText"/>
    <w:rsid w:val="00984FCD"/>
    <w:pPr>
      <w:tabs>
        <w:tab w:val="left" w:pos="1361"/>
      </w:tabs>
      <w:spacing w:before="60" w:after="60"/>
      <w:ind w:left="1361" w:hanging="340"/>
    </w:pPr>
  </w:style>
  <w:style w:type="paragraph" w:styleId="List5">
    <w:name w:val="List 5"/>
    <w:basedOn w:val="BodyText"/>
    <w:rsid w:val="00984FCD"/>
    <w:pPr>
      <w:tabs>
        <w:tab w:val="left" w:pos="1701"/>
      </w:tabs>
      <w:spacing w:before="60" w:after="60"/>
      <w:ind w:left="1701" w:hanging="340"/>
    </w:pPr>
  </w:style>
  <w:style w:type="paragraph" w:styleId="ListBullet3">
    <w:name w:val="List Bullet 3"/>
    <w:basedOn w:val="List3"/>
    <w:rsid w:val="00984FCD"/>
    <w:pPr>
      <w:numPr>
        <w:numId w:val="13"/>
      </w:numPr>
      <w:tabs>
        <w:tab w:val="clear" w:pos="1021"/>
      </w:tabs>
      <w:ind w:left="1037" w:hanging="357"/>
    </w:pPr>
  </w:style>
  <w:style w:type="paragraph" w:styleId="ListBullet4">
    <w:name w:val="List Bullet 4"/>
    <w:basedOn w:val="List4"/>
    <w:rsid w:val="00984FCD"/>
    <w:pPr>
      <w:numPr>
        <w:numId w:val="2"/>
      </w:numPr>
      <w:tabs>
        <w:tab w:val="clear" w:pos="1361"/>
      </w:tabs>
    </w:pPr>
  </w:style>
  <w:style w:type="paragraph" w:styleId="ListBullet5">
    <w:name w:val="List Bullet 5"/>
    <w:basedOn w:val="List5"/>
    <w:rsid w:val="00984FCD"/>
    <w:pPr>
      <w:numPr>
        <w:numId w:val="3"/>
      </w:numPr>
    </w:pPr>
  </w:style>
  <w:style w:type="paragraph" w:styleId="ListContinue2">
    <w:name w:val="List Continue 2"/>
    <w:basedOn w:val="List2"/>
    <w:rsid w:val="00984FCD"/>
    <w:pPr>
      <w:ind w:firstLine="0"/>
    </w:pPr>
  </w:style>
  <w:style w:type="paragraph" w:styleId="ListContinue3">
    <w:name w:val="List Continue 3"/>
    <w:basedOn w:val="List3"/>
    <w:rsid w:val="00984FCD"/>
    <w:pPr>
      <w:ind w:left="1021" w:firstLine="0"/>
    </w:pPr>
  </w:style>
  <w:style w:type="paragraph" w:styleId="ListContinue4">
    <w:name w:val="List Continue 4"/>
    <w:basedOn w:val="List4"/>
    <w:rsid w:val="00984FCD"/>
    <w:pPr>
      <w:ind w:firstLine="0"/>
    </w:pPr>
  </w:style>
  <w:style w:type="paragraph" w:styleId="ListContinue5">
    <w:name w:val="List Continue 5"/>
    <w:basedOn w:val="List5"/>
    <w:rsid w:val="00984FCD"/>
    <w:pPr>
      <w:ind w:firstLine="0"/>
    </w:pPr>
  </w:style>
  <w:style w:type="paragraph" w:styleId="ListNumber3">
    <w:name w:val="List Number 3"/>
    <w:basedOn w:val="List3"/>
    <w:rsid w:val="00984FCD"/>
    <w:pPr>
      <w:numPr>
        <w:numId w:val="4"/>
      </w:numPr>
    </w:pPr>
  </w:style>
  <w:style w:type="paragraph" w:styleId="ListNumber4">
    <w:name w:val="List Number 4"/>
    <w:basedOn w:val="List4"/>
    <w:rsid w:val="00984FCD"/>
    <w:pPr>
      <w:numPr>
        <w:numId w:val="5"/>
      </w:numPr>
    </w:pPr>
  </w:style>
  <w:style w:type="paragraph" w:styleId="ListNumber5">
    <w:name w:val="List Number 5"/>
    <w:basedOn w:val="List5"/>
    <w:rsid w:val="00984FCD"/>
    <w:pPr>
      <w:numPr>
        <w:numId w:val="6"/>
      </w:numPr>
    </w:pPr>
  </w:style>
  <w:style w:type="paragraph" w:styleId="BlockText">
    <w:name w:val="Block Text"/>
    <w:basedOn w:val="Normal"/>
    <w:rsid w:val="00984FCD"/>
    <w:pPr>
      <w:spacing w:after="120"/>
      <w:ind w:left="1440" w:right="1440"/>
    </w:pPr>
  </w:style>
  <w:style w:type="character" w:customStyle="1" w:styleId="Subscript">
    <w:name w:val="Subscript"/>
    <w:basedOn w:val="DefaultParagraphFont"/>
    <w:rsid w:val="00984FCD"/>
    <w:rPr>
      <w:sz w:val="16"/>
      <w:vertAlign w:val="subscript"/>
    </w:rPr>
  </w:style>
  <w:style w:type="character" w:customStyle="1" w:styleId="Superscript">
    <w:name w:val="Superscript"/>
    <w:basedOn w:val="DefaultParagraphFont"/>
    <w:rsid w:val="00984FCD"/>
    <w:rPr>
      <w:sz w:val="16"/>
      <w:vertAlign w:val="superscript"/>
    </w:rPr>
  </w:style>
  <w:style w:type="character" w:customStyle="1" w:styleId="Symbols">
    <w:name w:val="Symbols"/>
    <w:basedOn w:val="DefaultParagraphFont"/>
    <w:rsid w:val="00984FCD"/>
    <w:rPr>
      <w:rFonts w:ascii="Symbol" w:hAnsi="Symbol"/>
    </w:rPr>
  </w:style>
  <w:style w:type="character" w:customStyle="1" w:styleId="MenuOptions">
    <w:name w:val="Menu Options"/>
    <w:basedOn w:val="DefaultParagraphFont"/>
    <w:rsid w:val="00984FCD"/>
    <w:rPr>
      <w:rFonts w:ascii="Arial Narrow" w:hAnsi="Arial Narrow"/>
      <w:smallCaps/>
    </w:rPr>
  </w:style>
  <w:style w:type="character" w:customStyle="1" w:styleId="Buttons">
    <w:name w:val="Buttons"/>
    <w:basedOn w:val="DefaultParagraphFont"/>
    <w:rsid w:val="00984FCD"/>
    <w:rPr>
      <w:b/>
    </w:rPr>
  </w:style>
  <w:style w:type="character" w:customStyle="1" w:styleId="Underlined">
    <w:name w:val="Underlined"/>
    <w:basedOn w:val="DefaultParagraphFont"/>
    <w:rsid w:val="00984FCD"/>
    <w:rPr>
      <w:u w:val="single"/>
    </w:rPr>
  </w:style>
  <w:style w:type="paragraph" w:customStyle="1" w:styleId="TableBodyTextRight">
    <w:name w:val="Table Body Text Right"/>
    <w:basedOn w:val="TableBodyText"/>
    <w:rsid w:val="00984FCD"/>
    <w:pPr>
      <w:widowControl w:val="0"/>
      <w:autoSpaceDE w:val="0"/>
      <w:autoSpaceDN w:val="0"/>
      <w:adjustRightInd w:val="0"/>
      <w:jc w:val="right"/>
    </w:pPr>
    <w:rPr>
      <w:rFonts w:cs="Arial"/>
      <w:szCs w:val="18"/>
    </w:rPr>
  </w:style>
  <w:style w:type="paragraph" w:customStyle="1" w:styleId="CopyrightText">
    <w:name w:val="Copyright Text"/>
    <w:basedOn w:val="BodyText"/>
    <w:rsid w:val="00984FCD"/>
    <w:rPr>
      <w:sz w:val="18"/>
    </w:rPr>
  </w:style>
  <w:style w:type="paragraph" w:customStyle="1" w:styleId="BodySmallRight">
    <w:name w:val="Body Small Right"/>
    <w:basedOn w:val="BodyTextRight"/>
    <w:rsid w:val="00984FCD"/>
    <w:rPr>
      <w:sz w:val="18"/>
      <w:szCs w:val="18"/>
    </w:rPr>
  </w:style>
  <w:style w:type="paragraph" w:customStyle="1" w:styleId="MarginEdition">
    <w:name w:val="Margin Edition"/>
    <w:basedOn w:val="MarginNote"/>
    <w:rsid w:val="00984FCD"/>
    <w:pPr>
      <w:spacing w:before="0" w:after="0"/>
    </w:pPr>
    <w:rPr>
      <w:rFonts w:ascii="Times New Roman" w:hAnsi="Times New Roman"/>
      <w:color w:val="999999"/>
    </w:rPr>
  </w:style>
  <w:style w:type="paragraph" w:customStyle="1" w:styleId="Spacer">
    <w:name w:val="Spacer"/>
    <w:basedOn w:val="Normal"/>
    <w:rsid w:val="00984FCD"/>
    <w:rPr>
      <w:sz w:val="2"/>
      <w:szCs w:val="2"/>
    </w:rPr>
  </w:style>
  <w:style w:type="character" w:customStyle="1" w:styleId="Small">
    <w:name w:val="Small"/>
    <w:basedOn w:val="DefaultParagraphFont"/>
    <w:rsid w:val="00984FCD"/>
    <w:rPr>
      <w:sz w:val="16"/>
    </w:rPr>
  </w:style>
  <w:style w:type="paragraph" w:customStyle="1" w:styleId="WideTable">
    <w:name w:val="Wide Table"/>
    <w:basedOn w:val="Normal"/>
    <w:rsid w:val="00984FCD"/>
    <w:pPr>
      <w:ind w:left="-1418"/>
    </w:pPr>
    <w:rPr>
      <w:sz w:val="2"/>
      <w:szCs w:val="2"/>
    </w:rPr>
  </w:style>
  <w:style w:type="character" w:styleId="PageNumber">
    <w:name w:val="page number"/>
    <w:basedOn w:val="DefaultParagraphFont"/>
    <w:rsid w:val="00984FCD"/>
  </w:style>
  <w:style w:type="paragraph" w:styleId="Quote">
    <w:name w:val="Quote"/>
    <w:basedOn w:val="Heading1"/>
    <w:link w:val="QuoteChar"/>
    <w:qFormat/>
    <w:rsid w:val="00984FCD"/>
    <w:rPr>
      <w:b w:val="0"/>
      <w:sz w:val="72"/>
      <w:szCs w:val="72"/>
      <w:lang w:val="en-NZ"/>
    </w:rPr>
  </w:style>
  <w:style w:type="character" w:customStyle="1" w:styleId="QuoteChar">
    <w:name w:val="Quote Char"/>
    <w:basedOn w:val="DefaultParagraphFont"/>
    <w:link w:val="Quote"/>
    <w:rsid w:val="00984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FCD"/>
    <w:pPr>
      <w:pageBreakBefore/>
    </w:pPr>
  </w:style>
  <w:style w:type="paragraph" w:customStyle="1" w:styleId="Border">
    <w:name w:val="Border"/>
    <w:basedOn w:val="Normal"/>
    <w:qFormat/>
    <w:rsid w:val="00984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FCD"/>
    <w:rPr>
      <w:b/>
      <w:bCs/>
      <w:i/>
      <w:iCs/>
      <w:color w:val="auto"/>
    </w:rPr>
  </w:style>
  <w:style w:type="paragraph" w:styleId="IntenseQuote">
    <w:name w:val="Intense Quote"/>
    <w:basedOn w:val="Normal"/>
    <w:next w:val="Normal"/>
    <w:link w:val="IntenseQuoteChar"/>
    <w:uiPriority w:val="30"/>
    <w:qFormat/>
    <w:rsid w:val="00984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FCD"/>
    <w:rPr>
      <w:smallCaps/>
      <w:color w:val="auto"/>
      <w:u w:val="single"/>
    </w:rPr>
  </w:style>
  <w:style w:type="character" w:styleId="IntenseReference">
    <w:name w:val="Intense Reference"/>
    <w:basedOn w:val="DefaultParagraphFont"/>
    <w:uiPriority w:val="32"/>
    <w:qFormat/>
    <w:rsid w:val="00984FCD"/>
    <w:rPr>
      <w:b/>
      <w:bCs/>
      <w:smallCaps/>
      <w:color w:val="auto"/>
      <w:spacing w:val="5"/>
      <w:u w:val="single"/>
    </w:rPr>
  </w:style>
  <w:style w:type="paragraph" w:customStyle="1" w:styleId="2ColumnHeading">
    <w:name w:val="2Column Heading"/>
    <w:basedOn w:val="BodyText"/>
    <w:qFormat/>
    <w:rsid w:val="00984FCD"/>
    <w:pPr>
      <w:spacing w:after="60"/>
      <w:ind w:left="-2268"/>
    </w:pPr>
    <w:rPr>
      <w:b/>
    </w:rPr>
  </w:style>
  <w:style w:type="paragraph" w:customStyle="1" w:styleId="Heading1TOC">
    <w:name w:val="Heading1 TOC"/>
    <w:basedOn w:val="Normal"/>
    <w:qFormat/>
    <w:rsid w:val="00984FCD"/>
    <w:pPr>
      <w:spacing w:before="240" w:after="120"/>
    </w:pPr>
    <w:rPr>
      <w:rFonts w:ascii="Times New Roman" w:hAnsi="Times New Roman"/>
      <w:b/>
      <w:sz w:val="32"/>
    </w:rPr>
  </w:style>
  <w:style w:type="paragraph" w:customStyle="1" w:styleId="Heading2TOC">
    <w:name w:val="Heading2 TOC"/>
    <w:basedOn w:val="Normal"/>
    <w:qFormat/>
    <w:rsid w:val="00984FCD"/>
    <w:pPr>
      <w:spacing w:before="240" w:after="60"/>
    </w:pPr>
    <w:rPr>
      <w:rFonts w:ascii="Times New Roman" w:hAnsi="Times New Roman"/>
      <w:b/>
      <w:sz w:val="28"/>
    </w:rPr>
  </w:style>
  <w:style w:type="character" w:customStyle="1" w:styleId="Underline">
    <w:name w:val="Underline"/>
    <w:basedOn w:val="DefaultParagraphFont"/>
    <w:qFormat/>
    <w:rsid w:val="00984FCD"/>
    <w:rPr>
      <w:u w:val="single"/>
    </w:rPr>
  </w:style>
  <w:style w:type="character" w:customStyle="1" w:styleId="BoldandItalics">
    <w:name w:val="Bold and Italics"/>
    <w:qFormat/>
    <w:rsid w:val="00984FCD"/>
    <w:rPr>
      <w:b/>
      <w:i/>
      <w:u w:val="none"/>
    </w:rPr>
  </w:style>
  <w:style w:type="paragraph" w:styleId="BalloonText">
    <w:name w:val="Balloon Text"/>
    <w:basedOn w:val="Normal"/>
    <w:link w:val="BalloonTextChar"/>
    <w:rsid w:val="00984FCD"/>
    <w:rPr>
      <w:rFonts w:ascii="Tahoma" w:hAnsi="Tahoma" w:cs="Tahoma"/>
      <w:sz w:val="16"/>
      <w:szCs w:val="16"/>
    </w:rPr>
  </w:style>
  <w:style w:type="character" w:customStyle="1" w:styleId="BalloonTextChar">
    <w:name w:val="Balloon Text Char"/>
    <w:basedOn w:val="DefaultParagraphFont"/>
    <w:link w:val="BalloonText"/>
    <w:rsid w:val="00984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F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FCD"/>
    <w:rPr>
      <w:b/>
      <w:color w:val="660033"/>
      <w:spacing w:val="0"/>
    </w:rPr>
  </w:style>
  <w:style w:type="paragraph" w:customStyle="1" w:styleId="Nameditemlist">
    <w:name w:val="Named item list"/>
    <w:basedOn w:val="BodyText"/>
    <w:qFormat/>
    <w:rsid w:val="00984FCD"/>
    <w:pPr>
      <w:tabs>
        <w:tab w:val="left" w:pos="2835"/>
      </w:tabs>
      <w:ind w:left="2835" w:hanging="2835"/>
    </w:pPr>
  </w:style>
  <w:style w:type="paragraph" w:customStyle="1" w:styleId="BodyTextnopadding">
    <w:name w:val="Body Text no padding"/>
    <w:basedOn w:val="BodyText"/>
    <w:qFormat/>
    <w:rsid w:val="00984FCD"/>
    <w:pPr>
      <w:spacing w:before="0" w:after="0"/>
    </w:pPr>
  </w:style>
  <w:style w:type="paragraph" w:customStyle="1" w:styleId="BodyTextBold">
    <w:name w:val="Body Text Bold"/>
    <w:basedOn w:val="BodyText"/>
    <w:qFormat/>
    <w:rsid w:val="00984FCD"/>
    <w:rPr>
      <w:b/>
    </w:rPr>
  </w:style>
  <w:style w:type="character" w:styleId="Hyperlink">
    <w:name w:val="Hyperlink"/>
    <w:basedOn w:val="DefaultParagraphFont"/>
    <w:uiPriority w:val="99"/>
    <w:unhideWhenUsed/>
    <w:rsid w:val="00C74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4797</Characters>
  <Application>Microsoft Office Word</Application>
  <DocSecurity>0</DocSecurity>
  <Lines>218</Lines>
  <Paragraphs>113</Paragraphs>
  <ScaleCrop>false</ScaleCrop>
  <Company>Author-it Software Corporation Ltd.</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TLID3024 Use specialised liquid bulk transfer equipment (gravity/pressurised)</dc:title>
  <dc:subject>Approved</dc:subject>
  <dc:creator>Industry Skills Australia</dc:creator>
  <cp:keywords>Release: 2</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