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0B0" w:rsidP="00AB50B0">
      <w:pPr>
        <w:pStyle w:val="Title"/>
      </w:pPr>
      <w:r>
        <w:fldChar w:fldCharType="begin"/>
      </w:r>
      <w:r>
        <w:instrText xml:space="preserve"> TITLE   \* MERGEFORMAT </w:instrText>
      </w:r>
      <w:r>
        <w:fldChar w:fldCharType="separate"/>
      </w:r>
      <w:r>
        <w:t>TLID3023 Use specialised liquid bulk gas transfer equipment</w:t>
      </w:r>
      <w:r>
        <w:fldChar w:fldCharType="end"/>
      </w:r>
    </w:p>
    <w:p w:rsidR="00AB50B0" w:rsidP="00AB50B0">
      <w:pPr>
        <w:pStyle w:val="Version"/>
        <w:sectPr w:rsidSect="00535E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5EBD" w:rsidP="00535EBD">
      <w:pPr>
        <w:pStyle w:val="SuperHeading"/>
      </w:pPr>
      <w:r w:rsidRPr="00535EBD">
        <w:t>TLID3023 Use specialised liquid bulk gas transfer equipment</w:t>
      </w:r>
    </w:p>
    <w:p w:rsidR="00000000" w:rsidRPr="00535EBD" w:rsidP="00535EBD">
      <w:pPr>
        <w:pStyle w:val="Heading1"/>
      </w:pPr>
      <w:bookmarkStart w:id="1" w:name="O_1196406"/>
      <w:bookmarkEnd w:id="1"/>
      <w:r w:rsidRPr="00535EBD">
        <w:t>Modification History</w:t>
      </w:r>
    </w:p>
    <w:tbl>
      <w:tblPr>
        <w:tblW w:w="9497" w:type="dxa"/>
        <w:tblLayout w:type="fixed"/>
        <w:tblCellMar>
          <w:left w:w="62" w:type="dxa"/>
          <w:right w:w="62" w:type="dxa"/>
        </w:tblCellMar>
        <w:tblLook w:val="0000"/>
      </w:tblPr>
      <w:tblGrid>
        <w:gridCol w:w="9497"/>
      </w:tblGrid>
      <w:tr w:rsidTr="00535E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rPr>
                <w:rStyle w:val="SpecialBold"/>
              </w:rPr>
              <w:t>Release 2.</w:t>
            </w:r>
            <w:r w:rsidRPr="00535EBD">
              <w:t xml:space="preserve"> This is the second release of this unit of competency in the TLI Transport and Logistics Training Package.  </w:t>
            </w:r>
          </w:p>
          <w:p w:rsidR="00000000" w:rsidRPr="00535EBD" w:rsidP="00535EBD">
            <w:pPr>
              <w:pStyle w:val="ListBullet2"/>
            </w:pPr>
            <w:r w:rsidRPr="00535EBD">
              <w:t>Minor changes to unit Application</w:t>
            </w:r>
          </w:p>
          <w:p w:rsidR="00000000" w:rsidP="00535EBD">
            <w:pPr>
              <w:pStyle w:val="ListBullet2"/>
              <w:rPr>
                <w:lang w:val="en-NZ"/>
              </w:rPr>
            </w:pPr>
            <w:r w:rsidRPr="00535EBD">
              <w:t>Minor changes to Assessment Conditions.</w:t>
            </w:r>
          </w:p>
        </w:tc>
      </w:tr>
      <w:tr w:rsidTr="00535E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rPr>
                <w:rStyle w:val="SpecialBold"/>
              </w:rPr>
              <w:t>Release 1.</w:t>
            </w:r>
            <w:r w:rsidRPr="00535EBD">
              <w:t xml:space="preserve"> This is th</w:t>
            </w:r>
            <w:r w:rsidRPr="00535EBD">
              <w:t>e first release of this unit of competency in the TLI Transport and Logistics Training Package.</w:t>
            </w:r>
          </w:p>
        </w:tc>
      </w:tr>
    </w:tbl>
    <w:p w:rsidR="00AB50B0" w:rsidP="00535EBD">
      <w:pPr>
        <w:pStyle w:val="NoPaddingFontSize1"/>
      </w:pPr>
    </w:p>
    <w:p w:rsidR="00AB50B0" w:rsidP="00535EBD">
      <w:pPr>
        <w:pStyle w:val="NoPaddingFontSize1"/>
      </w:pPr>
    </w:p>
    <w:p w:rsidR="00000000" w:rsidRPr="00535EBD" w:rsidP="00535EBD">
      <w:pPr>
        <w:pStyle w:val="Heading1"/>
      </w:pPr>
      <w:bookmarkStart w:id="2" w:name="O_1196405"/>
      <w:bookmarkEnd w:id="2"/>
      <w:r w:rsidRPr="00535EBD">
        <w:t>Application</w:t>
      </w:r>
    </w:p>
    <w:tbl>
      <w:tblPr>
        <w:tblW w:w="9497" w:type="dxa"/>
        <w:tblLayout w:type="fixed"/>
        <w:tblCellMar>
          <w:left w:w="62" w:type="dxa"/>
          <w:right w:w="62" w:type="dxa"/>
        </w:tblCellMar>
        <w:tblLook w:val="0000"/>
      </w:tblPr>
      <w:tblGrid>
        <w:gridCol w:w="9497"/>
      </w:tblGrid>
      <w:tr w:rsidTr="00535E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t>This unit involves the skills and knowledge required to use specialised bulk gas transfer equipment.</w:t>
            </w:r>
          </w:p>
          <w:p w:rsidR="00000000" w:rsidRPr="00535EBD" w:rsidP="00535EBD">
            <w:pPr>
              <w:pStyle w:val="BodyText"/>
            </w:pPr>
            <w:r w:rsidRPr="00535EBD">
              <w:t>It includes planning work, transferring gas in accordance with regulatory and operational requirements, monitoring and operating controls, and completing all operations, as required, to load and unload liquid bulk gas in accordance with the current Austral</w:t>
            </w:r>
            <w:r w:rsidRPr="00535EBD">
              <w:t>ian Dangerous Goods (ADG) Code and relevant state and/or territory regulations.</w:t>
            </w:r>
          </w:p>
          <w:p w:rsidR="00000000" w:rsidRPr="00535EBD" w:rsidP="00535EBD">
            <w:pPr>
              <w:pStyle w:val="BodyText"/>
            </w:pPr>
            <w:r w:rsidRPr="00535EBD">
              <w:t xml:space="preserve">Work is performed under general supervision. </w:t>
            </w:r>
          </w:p>
          <w:p w:rsidR="00000000" w:rsidRPr="00535EBD" w:rsidP="00535EBD">
            <w:pPr>
              <w:pStyle w:val="BodyText"/>
            </w:pPr>
            <w:r w:rsidRPr="00535EBD">
              <w:t>No licensing, legislative or certification requirements apply to this unit at the time of publication.</w:t>
            </w:r>
          </w:p>
        </w:tc>
      </w:tr>
    </w:tbl>
    <w:p w:rsidR="00AB50B0" w:rsidP="00535EBD">
      <w:pPr>
        <w:pStyle w:val="NoPaddingFontSize1"/>
      </w:pPr>
    </w:p>
    <w:p w:rsidR="00AB50B0" w:rsidP="00535EBD">
      <w:pPr>
        <w:pStyle w:val="NoPaddingFontSize1"/>
      </w:pPr>
    </w:p>
    <w:p w:rsidR="00000000" w:rsidRPr="00535EBD" w:rsidP="00535EBD">
      <w:pPr>
        <w:pStyle w:val="Heading1"/>
      </w:pPr>
      <w:bookmarkStart w:id="3" w:name="O_1196404"/>
      <w:bookmarkEnd w:id="3"/>
      <w:r w:rsidRPr="00535EBD">
        <w:t>Pre-r</w:t>
      </w:r>
      <w:r w:rsidRPr="00535EBD">
        <w:t>equisite Unit</w:t>
      </w:r>
    </w:p>
    <w:tbl>
      <w:tblPr>
        <w:tblW w:w="9497" w:type="dxa"/>
        <w:tblLayout w:type="fixed"/>
        <w:tblCellMar>
          <w:left w:w="62" w:type="dxa"/>
          <w:right w:w="62" w:type="dxa"/>
        </w:tblCellMar>
        <w:tblLook w:val="0000"/>
      </w:tblPr>
      <w:tblGrid>
        <w:gridCol w:w="9497"/>
      </w:tblGrid>
      <w:tr w:rsidTr="00535E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t>Not applicable.</w:t>
            </w:r>
          </w:p>
        </w:tc>
      </w:tr>
    </w:tbl>
    <w:p w:rsidR="00AB50B0" w:rsidP="00535EBD">
      <w:pPr>
        <w:pStyle w:val="NoPaddingFontSize1"/>
      </w:pPr>
    </w:p>
    <w:p w:rsidR="00AB50B0" w:rsidP="00535EBD">
      <w:pPr>
        <w:pStyle w:val="NoPaddingFontSize1"/>
      </w:pPr>
    </w:p>
    <w:p w:rsidR="00000000" w:rsidRPr="00535EBD" w:rsidP="00535EBD">
      <w:pPr>
        <w:pStyle w:val="Heading1"/>
      </w:pPr>
      <w:bookmarkStart w:id="4" w:name="O_1196403"/>
      <w:bookmarkEnd w:id="4"/>
      <w:r w:rsidRPr="00535EBD">
        <w:t>Competency Field</w:t>
      </w:r>
    </w:p>
    <w:tbl>
      <w:tblPr>
        <w:tblW w:w="9497" w:type="dxa"/>
        <w:tblLayout w:type="fixed"/>
        <w:tblCellMar>
          <w:left w:w="62" w:type="dxa"/>
          <w:right w:w="62" w:type="dxa"/>
        </w:tblCellMar>
        <w:tblLook w:val="0000"/>
      </w:tblPr>
      <w:tblGrid>
        <w:gridCol w:w="9497"/>
      </w:tblGrid>
      <w:tr w:rsidTr="00535E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t>D – Load Handling</w:t>
            </w:r>
          </w:p>
        </w:tc>
      </w:tr>
    </w:tbl>
    <w:p w:rsidR="00AB50B0" w:rsidP="00535EBD">
      <w:pPr>
        <w:pStyle w:val="NoPaddingFontSize1"/>
      </w:pPr>
    </w:p>
    <w:p w:rsidR="00AB50B0" w:rsidP="00535EBD">
      <w:pPr>
        <w:pStyle w:val="NoPaddingFontSize1"/>
      </w:pPr>
    </w:p>
    <w:p w:rsidR="00000000" w:rsidRPr="00535EBD" w:rsidP="00535EBD">
      <w:pPr>
        <w:pStyle w:val="Heading1"/>
      </w:pPr>
      <w:bookmarkStart w:id="5" w:name="O_1196402"/>
      <w:bookmarkEnd w:id="5"/>
      <w:r w:rsidRPr="00535EBD">
        <w:t>Unit Sector</w:t>
      </w:r>
    </w:p>
    <w:tbl>
      <w:tblPr>
        <w:tblW w:w="9497" w:type="dxa"/>
        <w:tblLayout w:type="fixed"/>
        <w:tblCellMar>
          <w:left w:w="62" w:type="dxa"/>
          <w:right w:w="62" w:type="dxa"/>
        </w:tblCellMar>
        <w:tblLook w:val="0000"/>
      </w:tblPr>
      <w:tblGrid>
        <w:gridCol w:w="9497"/>
      </w:tblGrid>
      <w:tr w:rsidTr="00535E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t>Not applicable.</w:t>
            </w:r>
          </w:p>
        </w:tc>
      </w:tr>
    </w:tbl>
    <w:p w:rsidR="00AB50B0" w:rsidP="00535EBD">
      <w:pPr>
        <w:pStyle w:val="NoPaddingFontSize1"/>
      </w:pPr>
    </w:p>
    <w:p w:rsidR="00AB50B0" w:rsidP="00535EBD">
      <w:pPr>
        <w:pStyle w:val="NoPaddingFontSize1"/>
      </w:pPr>
    </w:p>
    <w:p w:rsidR="00000000" w:rsidRPr="00535EBD" w:rsidP="00535EBD">
      <w:pPr>
        <w:pStyle w:val="Heading1"/>
      </w:pPr>
      <w:bookmarkStart w:id="6" w:name="O_1196401"/>
      <w:bookmarkEnd w:id="6"/>
      <w:r w:rsidRPr="00535EBD">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535EBD">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PERFORMANCE CRITERIA</w:t>
            </w:r>
          </w:p>
        </w:tc>
      </w:tr>
      <w:tr w:rsidTr="00535EBD">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 xml:space="preserve">Elements describe the </w:t>
            </w:r>
            <w:r w:rsidRPr="00535EBD">
              <w:t>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 xml:space="preserve">Performance criteria describe the performance needed to demonstrate </w:t>
            </w:r>
            <w:r w:rsidRPr="00535EBD">
              <w:t>achievement of the element.</w:t>
            </w:r>
          </w:p>
        </w:tc>
      </w:tr>
      <w:tr w:rsidTr="00535EB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rPr>
                <w:rStyle w:val="SpecialBold"/>
              </w:rPr>
              <w:t>Plan work</w:t>
            </w: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Job hazards are identified and required actions taken to minimise, control or eliminate identified hazards</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Gas transfer method is identified for loading and unloading as liquefied or gaseous state</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Precautions are undertaken</w:t>
            </w:r>
            <w:r w:rsidRPr="00535EBD">
              <w:t xml:space="preserve"> to eliminate all ignition sources</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1.4</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Specialised handling requirements for particular gas are identified and relevant workplace procedures are taken into account when planning work</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1.5</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 xml:space="preserve">Traffic flow, vehicle positioning and work area conditions are </w:t>
            </w:r>
            <w:r w:rsidRPr="00535EBD">
              <w:t>assessed to ensure safe operation and no injury to people, or damage to equipment, loads or facilities</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1.6</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Characteristics of gas, transfer and holding method are taken into account when evaluating procedural requirements, special precautions for method</w:t>
            </w:r>
            <w:r w:rsidRPr="00535EBD">
              <w:t xml:space="preserve">, equipment and, as required, appropriate attachments to transfer load </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1.7</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Potential occurrences in work area that may affect safety and efficiency of operations are reported to appropriate personnel</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1.8</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 xml:space="preserve">Gas transfer is planned, taking into account requirements of load, transfer method, storage facility, transport mode, load weight, volume, viscosity and equipment capacity </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1.9</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Load is checked prior to and at completion of transfer to ensure ullage and/</w:t>
            </w:r>
            <w:r w:rsidRPr="00535EBD">
              <w:t>or maximum permitted capacity complies with current ADG Code</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1.10</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Adjustments are made to process to accommodate special requirements such as temperature control and combustion</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1.11</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Required personal protective equipment (PPE), signage, barriers and special precautions are identified in plan and utilised</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1.12</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Workplace procedures to deal with leakages and ruptures are identified</w:t>
            </w:r>
          </w:p>
        </w:tc>
      </w:tr>
      <w:tr w:rsidTr="00535EB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rPr>
                <w:rStyle w:val="SpecialBold"/>
              </w:rPr>
              <w:t>Transfer material</w:t>
            </w: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Equipment is prepared and appropriate attachment is fitted</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Equipment controls are checked for correct operational status before commencing transfer</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 xml:space="preserve">Instruments and gauges are monitored during operations to </w:t>
            </w:r>
            <w:r w:rsidRPr="00535EBD">
              <w:t>ensure operation is within manufacturer specifications, enterprise schedule and safety requirements</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2.4</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Speed of operation is managed for safety and efficiency of materials movement and equipment</w:t>
            </w:r>
            <w:r w:rsidRPr="00535EBD">
              <w:t xml:space="preserve"> operations</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2.5</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Faults or damage to equipment are immediately reported to appropriate personnel</w:t>
            </w:r>
          </w:p>
        </w:tc>
      </w:tr>
      <w:tr w:rsidTr="00535EB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rPr>
                <w:rStyle w:val="SpecialBold"/>
              </w:rPr>
              <w:t>Monitor and operate controls</w:t>
            </w: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Equipment controls are monitored and operated in accordance with manufacturer operating instructions</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Control systems are monitored in accordance with statutory authority regulations, manufacturer guidelines and site workplace procedures</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3.3</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Gas is transferred ensuring no injury to personnel or damage to equipment or goods</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3.4</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Faults are identified a</w:t>
            </w:r>
            <w:r w:rsidRPr="00535EBD">
              <w:t>nd reported in accordance with workplace procedures</w:t>
            </w:r>
          </w:p>
        </w:tc>
      </w:tr>
      <w:tr w:rsidTr="00535EB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rPr>
                <w:rStyle w:val="SpecialBold"/>
              </w:rPr>
              <w:t>Complete operations</w:t>
            </w: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4.1</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Equipment is shut down in accordance with manufacturer guidelines without injury to personnel or damage to equipment, loads or facilities in accordance with workplace procedures</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4.2</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Clean up methods for transfer equipment are completed in accordance with workplace procedures</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4.3</w:t>
            </w:r>
          </w:p>
        </w:tc>
        <w:tc>
          <w:tcPr>
            <w:tcW w:w="6083"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t>Equipment is secured in accordance with workplace procedures for appropriate equipment</w:t>
            </w:r>
          </w:p>
        </w:tc>
      </w:tr>
      <w:tr w:rsidTr="00535EB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35EBD">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535EBD">
            <w:pPr>
              <w:pStyle w:val="BodyText"/>
              <w:rPr>
                <w:lang w:val="en-NZ"/>
              </w:rPr>
            </w:pPr>
            <w:r w:rsidRPr="00535EBD">
              <w:rPr>
                <w:rStyle w:val="SpecialBold"/>
              </w:rPr>
              <w:t>4.4</w:t>
            </w:r>
          </w:p>
        </w:tc>
        <w:tc>
          <w:tcPr>
            <w:tcW w:w="6083" w:type="dxa"/>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t>Workplace documentation is completed and filed in accordance with workplace procedures</w:t>
            </w:r>
          </w:p>
        </w:tc>
      </w:tr>
    </w:tbl>
    <w:p w:rsidR="00AB50B0" w:rsidP="00535EBD">
      <w:pPr>
        <w:pStyle w:val="NoPaddingFontSize1"/>
      </w:pPr>
    </w:p>
    <w:p w:rsidR="00AB50B0" w:rsidP="00535EBD">
      <w:pPr>
        <w:pStyle w:val="NoPaddingFontSize1"/>
      </w:pPr>
    </w:p>
    <w:p w:rsidR="00000000" w:rsidRPr="00535EBD" w:rsidP="00535EBD">
      <w:pPr>
        <w:pStyle w:val="Heading1"/>
      </w:pPr>
      <w:bookmarkStart w:id="7" w:name="O_1196400"/>
      <w:bookmarkEnd w:id="7"/>
      <w:r w:rsidRPr="00535EBD">
        <w:t>Foundation Skills</w:t>
      </w:r>
    </w:p>
    <w:tbl>
      <w:tblPr>
        <w:tblW w:w="9497" w:type="dxa"/>
        <w:tblLayout w:type="fixed"/>
        <w:tblCellMar>
          <w:left w:w="62" w:type="dxa"/>
          <w:right w:w="62" w:type="dxa"/>
        </w:tblCellMar>
        <w:tblLook w:val="0000"/>
      </w:tblPr>
      <w:tblGrid>
        <w:gridCol w:w="9497"/>
      </w:tblGrid>
      <w:tr w:rsidTr="00535E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t>Foundation skills essential to performance are explicit in the performance criteria of this unit of competency.</w:t>
            </w:r>
          </w:p>
        </w:tc>
      </w:tr>
    </w:tbl>
    <w:p w:rsidR="00AB50B0" w:rsidP="00535EBD">
      <w:pPr>
        <w:pStyle w:val="NoPaddingFontSize1"/>
      </w:pPr>
    </w:p>
    <w:p w:rsidR="00AB50B0" w:rsidP="00535EBD">
      <w:pPr>
        <w:pStyle w:val="NoPaddingFontSize1"/>
      </w:pPr>
    </w:p>
    <w:p w:rsidR="00000000" w:rsidRPr="00535EBD" w:rsidP="00535EBD">
      <w:pPr>
        <w:pStyle w:val="Heading1"/>
      </w:pPr>
      <w:bookmarkStart w:id="8" w:name="O_1196399"/>
      <w:bookmarkEnd w:id="8"/>
      <w:r w:rsidRPr="00535EBD">
        <w:t>Range of Conditions</w:t>
      </w:r>
    </w:p>
    <w:tbl>
      <w:tblPr>
        <w:tblW w:w="9497" w:type="dxa"/>
        <w:tblLayout w:type="fixed"/>
        <w:tblCellMar>
          <w:left w:w="62" w:type="dxa"/>
          <w:right w:w="62" w:type="dxa"/>
        </w:tblCellMar>
        <w:tblLook w:val="0000"/>
      </w:tblPr>
      <w:tblGrid>
        <w:gridCol w:w="9497"/>
      </w:tblGrid>
      <w:tr w:rsidTr="00535E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t>Range is restricted to essential operating conditions and any other variables essential to the work environment.</w:t>
            </w:r>
          </w:p>
          <w:p w:rsidR="00000000" w:rsidRPr="00535EBD" w:rsidP="00535EBD">
            <w:pPr>
              <w:pStyle w:val="BodyText"/>
            </w:pPr>
            <w:r w:rsidRPr="00535EBD">
              <w:t>Non-essential conditions can be found in the TLI Transport and Logistics Training Package Companion Volume Impleme</w:t>
            </w:r>
            <w:r w:rsidRPr="00535EBD">
              <w:t>ntation Guide.</w:t>
            </w:r>
          </w:p>
        </w:tc>
      </w:tr>
    </w:tbl>
    <w:p w:rsidR="00AB50B0" w:rsidP="00535EBD">
      <w:pPr>
        <w:pStyle w:val="NoPaddingFontSize1"/>
      </w:pPr>
    </w:p>
    <w:p w:rsidR="00AB50B0" w:rsidP="00535EBD">
      <w:pPr>
        <w:pStyle w:val="NoPaddingFontSize1"/>
      </w:pPr>
    </w:p>
    <w:p w:rsidR="00000000" w:rsidRPr="00535EBD" w:rsidP="00535EBD">
      <w:pPr>
        <w:pStyle w:val="Heading1"/>
      </w:pPr>
      <w:bookmarkStart w:id="9" w:name="O_1196398"/>
      <w:bookmarkEnd w:id="9"/>
      <w:r w:rsidRPr="00535EBD">
        <w:t>Unit Mapping Information</w:t>
      </w:r>
    </w:p>
    <w:tbl>
      <w:tblPr>
        <w:tblW w:w="9497" w:type="dxa"/>
        <w:tblLayout w:type="fixed"/>
        <w:tblCellMar>
          <w:left w:w="62" w:type="dxa"/>
          <w:right w:w="62" w:type="dxa"/>
        </w:tblCellMar>
        <w:tblLook w:val="0000"/>
      </w:tblPr>
      <w:tblGrid>
        <w:gridCol w:w="9497"/>
      </w:tblGrid>
      <w:tr w:rsidTr="00535E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EBD" w:rsidP="00535EBD">
            <w:pPr>
              <w:pStyle w:val="BodyText"/>
            </w:pPr>
            <w:r w:rsidRPr="00535EBD">
              <w:t>This unit replaces and is equivalent to TLID3023A Use specialised liquid bulk gas transfer equipment.</w:t>
            </w:r>
          </w:p>
        </w:tc>
      </w:tr>
    </w:tbl>
    <w:p w:rsidR="00AB50B0" w:rsidP="00535EBD">
      <w:pPr>
        <w:pStyle w:val="NoPaddingFontSize1"/>
      </w:pPr>
    </w:p>
    <w:p w:rsidR="00AB50B0" w:rsidP="00535EBD">
      <w:pPr>
        <w:pStyle w:val="NoPaddingFontSize1"/>
      </w:pPr>
    </w:p>
    <w:p w:rsidR="00000000" w:rsidRPr="00535EBD" w:rsidP="00535EBD">
      <w:pPr>
        <w:pStyle w:val="Heading1"/>
      </w:pPr>
      <w:bookmarkStart w:id="10" w:name="O_1196407"/>
      <w:bookmarkEnd w:id="10"/>
      <w:r w:rsidRPr="00535EBD">
        <w:t>Links</w:t>
      </w:r>
    </w:p>
    <w:p w:rsidR="00000000" w:rsidRPr="00535EBD" w:rsidP="00AB50B0">
      <w:pPr>
        <w:pStyle w:val="BodyText"/>
      </w:pPr>
      <w:r w:rsidRPr="00535EB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70C80">
        <w:rPr>
          <w:rStyle w:val="Hyperlink"/>
        </w:rPr>
        <w:t>https://vetnet.gov.au/Pages/TrainingDocs.aspx?q=df441c6e-213d-43e3-874c-0b3f7036d851</w:t>
      </w:r>
      <w:r>
        <w:fldChar w:fldCharType="end"/>
      </w:r>
    </w:p>
    <w:p w:rsidR="00000000" w:rsidRPr="00535EBD" w:rsidP="00535EBD"/>
    <w:sectPr w:rsidSect="00535E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BD" w:rsidRPr="00AB50B0" w:rsidP="00AB50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B0" w:rsidP="00535E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50B0" w:rsidP="00535EB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B50B0" w:rsidP="00535E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EBD" w:rsidRPr="00AB50B0" w:rsidP="00AB50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B0" w:rsidRPr="002D2AF8" w:rsidP="00535EBD">
    <w:pPr>
      <w:pStyle w:val="Header"/>
      <w:framePr w:wrap="around"/>
    </w:pPr>
    <w:r>
      <w:fldChar w:fldCharType="begin"/>
    </w:r>
    <w:r>
      <w:instrText xml:space="preserve"> TITLE   \* MERGEFORMAT </w:instrText>
    </w:r>
    <w:r>
      <w:fldChar w:fldCharType="separate"/>
    </w:r>
    <w:r>
      <w:t>TLID3023 Use specialised liquid bulk gas transfer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B50B0" w:rsidP="00535E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F25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348D7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E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EBD"/>
    <w:pPr>
      <w:spacing w:before="360" w:after="60"/>
      <w:outlineLvl w:val="0"/>
    </w:pPr>
    <w:rPr>
      <w:sz w:val="32"/>
    </w:rPr>
  </w:style>
  <w:style w:type="paragraph" w:styleId="Heading2">
    <w:name w:val="heading 2"/>
    <w:basedOn w:val="HeadingBase"/>
    <w:next w:val="BodyText"/>
    <w:link w:val="Heading2Char"/>
    <w:qFormat/>
    <w:rsid w:val="00535EBD"/>
    <w:pPr>
      <w:keepLines/>
      <w:spacing w:before="240" w:after="120"/>
      <w:outlineLvl w:val="1"/>
    </w:pPr>
    <w:rPr>
      <w:sz w:val="28"/>
      <w:szCs w:val="40"/>
    </w:rPr>
  </w:style>
  <w:style w:type="paragraph" w:styleId="Heading3">
    <w:name w:val="heading 3"/>
    <w:basedOn w:val="HeadingBase"/>
    <w:next w:val="BodyText"/>
    <w:link w:val="Heading3Char"/>
    <w:qFormat/>
    <w:rsid w:val="00535EBD"/>
    <w:pPr>
      <w:spacing w:before="180" w:after="120"/>
      <w:outlineLvl w:val="2"/>
    </w:pPr>
    <w:rPr>
      <w:spacing w:val="-10"/>
      <w:kern w:val="32"/>
    </w:rPr>
  </w:style>
  <w:style w:type="paragraph" w:styleId="Heading4">
    <w:name w:val="heading 4"/>
    <w:basedOn w:val="HeadingBase"/>
    <w:next w:val="BodyText"/>
    <w:link w:val="Heading4Char"/>
    <w:qFormat/>
    <w:rsid w:val="00535EBD"/>
    <w:pPr>
      <w:spacing w:before="160" w:after="120"/>
      <w:outlineLvl w:val="3"/>
    </w:pPr>
    <w:rPr>
      <w:sz w:val="22"/>
    </w:rPr>
  </w:style>
  <w:style w:type="paragraph" w:styleId="Heading5">
    <w:name w:val="heading 5"/>
    <w:basedOn w:val="HeadingBase"/>
    <w:next w:val="Normal"/>
    <w:link w:val="Heading5Char"/>
    <w:qFormat/>
    <w:rsid w:val="00535EBD"/>
    <w:pPr>
      <w:spacing w:before="80"/>
      <w:outlineLvl w:val="4"/>
    </w:pPr>
    <w:rPr>
      <w:color w:val="918585"/>
      <w:sz w:val="20"/>
    </w:rPr>
  </w:style>
  <w:style w:type="paragraph" w:styleId="Heading6">
    <w:name w:val="heading 6"/>
    <w:basedOn w:val="HeadingBase"/>
    <w:next w:val="Normal"/>
    <w:link w:val="Heading6Char"/>
    <w:qFormat/>
    <w:rsid w:val="00535EBD"/>
    <w:pPr>
      <w:spacing w:before="60"/>
      <w:outlineLvl w:val="5"/>
    </w:pPr>
    <w:rPr>
      <w:color w:val="918585"/>
      <w:sz w:val="20"/>
    </w:rPr>
  </w:style>
  <w:style w:type="paragraph" w:styleId="Heading7">
    <w:name w:val="heading 7"/>
    <w:basedOn w:val="Normal"/>
    <w:next w:val="Normal"/>
    <w:link w:val="Heading7Char"/>
    <w:qFormat/>
    <w:rsid w:val="00535EBD"/>
    <w:pPr>
      <w:ind w:left="720"/>
      <w:outlineLvl w:val="6"/>
    </w:pPr>
    <w:rPr>
      <w:i/>
    </w:rPr>
  </w:style>
  <w:style w:type="paragraph" w:styleId="Heading8">
    <w:name w:val="heading 8"/>
    <w:basedOn w:val="Normal"/>
    <w:next w:val="Normal"/>
    <w:link w:val="Heading8Char"/>
    <w:qFormat/>
    <w:rsid w:val="00535EBD"/>
    <w:pPr>
      <w:ind w:left="720"/>
      <w:outlineLvl w:val="7"/>
    </w:pPr>
    <w:rPr>
      <w:i/>
    </w:rPr>
  </w:style>
  <w:style w:type="paragraph" w:styleId="Heading9">
    <w:name w:val="heading 9"/>
    <w:basedOn w:val="Normal"/>
    <w:next w:val="Normal"/>
    <w:link w:val="Heading9Char"/>
    <w:qFormat/>
    <w:rsid w:val="00535EBD"/>
    <w:pPr>
      <w:ind w:left="720"/>
      <w:outlineLvl w:val="8"/>
    </w:pPr>
    <w:rPr>
      <w:i/>
    </w:rPr>
  </w:style>
  <w:style w:type="character" w:default="1" w:styleId="DefaultParagraphFont">
    <w:name w:val="Default Paragraph Font"/>
    <w:uiPriority w:val="1"/>
    <w:unhideWhenUsed/>
    <w:rsid w:val="00535E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EBD"/>
  </w:style>
  <w:style w:type="character" w:customStyle="1" w:styleId="Heading1Char">
    <w:name w:val="Heading 1 Char"/>
    <w:basedOn w:val="DefaultParagraphFont"/>
    <w:link w:val="Heading1"/>
    <w:rsid w:val="00535EBD"/>
    <w:rPr>
      <w:rFonts w:ascii="Times New Roman" w:eastAsia="Times New Roman" w:hAnsi="Times New Roman" w:cs="Times New Roman"/>
      <w:b/>
      <w:sz w:val="32"/>
      <w:szCs w:val="20"/>
      <w:lang w:eastAsia="en-US"/>
    </w:rPr>
  </w:style>
  <w:style w:type="paragraph" w:styleId="BodyText">
    <w:name w:val="Body Text"/>
    <w:basedOn w:val="Normal"/>
    <w:link w:val="BodyTextChar"/>
    <w:rsid w:val="00535E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EBD"/>
    <w:rPr>
      <w:rFonts w:ascii="Times New Roman" w:eastAsia="Times New Roman" w:hAnsi="Times New Roman" w:cs="Times New Roman"/>
      <w:sz w:val="24"/>
      <w:lang w:eastAsia="en-US"/>
    </w:rPr>
  </w:style>
  <w:style w:type="character" w:customStyle="1" w:styleId="SpecialBold">
    <w:name w:val="Special Bold"/>
    <w:basedOn w:val="DefaultParagraphFont"/>
    <w:rsid w:val="00535EBD"/>
    <w:rPr>
      <w:b/>
      <w:spacing w:val="0"/>
    </w:rPr>
  </w:style>
  <w:style w:type="paragraph" w:styleId="ListBullet2">
    <w:name w:val="List Bullet 2"/>
    <w:basedOn w:val="List2"/>
    <w:rsid w:val="00535EBD"/>
    <w:pPr>
      <w:numPr>
        <w:numId w:val="12"/>
      </w:numPr>
      <w:tabs>
        <w:tab w:val="clear" w:pos="680"/>
      </w:tabs>
    </w:pPr>
  </w:style>
  <w:style w:type="paragraph" w:customStyle="1" w:styleId="SuperHeading">
    <w:name w:val="SuperHeading"/>
    <w:basedOn w:val="Normal"/>
    <w:rsid w:val="00535EBD"/>
    <w:pPr>
      <w:spacing w:before="240" w:after="120"/>
      <w:outlineLvl w:val="0"/>
    </w:pPr>
    <w:rPr>
      <w:rFonts w:ascii="Times New Roman" w:hAnsi="Times New Roman"/>
      <w:b/>
      <w:sz w:val="32"/>
    </w:rPr>
  </w:style>
  <w:style w:type="paragraph" w:customStyle="1" w:styleId="AllowPageBreak">
    <w:name w:val="AllowPageBreak"/>
    <w:rsid w:val="00535E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5E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E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E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E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E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E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E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EBD"/>
    <w:rPr>
      <w:rFonts w:ascii="Courier New" w:eastAsia="Times New Roman" w:hAnsi="Courier New" w:cs="Times New Roman"/>
      <w:i/>
      <w:szCs w:val="20"/>
      <w:lang w:eastAsia="en-US"/>
    </w:rPr>
  </w:style>
  <w:style w:type="paragraph" w:customStyle="1" w:styleId="HeadingBase">
    <w:name w:val="Heading Base"/>
    <w:rsid w:val="00535E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EBD"/>
    <w:pPr>
      <w:tabs>
        <w:tab w:val="right" w:leader="dot" w:pos="9072"/>
      </w:tabs>
      <w:ind w:left="567"/>
    </w:pPr>
    <w:rPr>
      <w:szCs w:val="22"/>
    </w:rPr>
  </w:style>
  <w:style w:type="paragraph" w:customStyle="1" w:styleId="TOCBase">
    <w:name w:val="TOC Base"/>
    <w:rsid w:val="00535E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EBD"/>
    <w:pPr>
      <w:tabs>
        <w:tab w:val="right" w:leader="dot" w:pos="9072"/>
      </w:tabs>
      <w:spacing w:before="40" w:after="40"/>
      <w:ind w:left="284"/>
    </w:pPr>
    <w:rPr>
      <w:rFonts w:ascii="Times New Roman" w:hAnsi="Times New Roman"/>
    </w:rPr>
  </w:style>
  <w:style w:type="paragraph" w:styleId="TOC1">
    <w:name w:val="toc 1"/>
    <w:basedOn w:val="TOCBase"/>
    <w:next w:val="Normal"/>
    <w:rsid w:val="00535E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E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EBD"/>
    <w:rPr>
      <w:rFonts w:ascii="Times New Roman" w:eastAsia="Times New Roman" w:hAnsi="Times New Roman" w:cs="Times New Roman"/>
      <w:sz w:val="16"/>
      <w:lang w:eastAsia="en-US"/>
    </w:rPr>
  </w:style>
  <w:style w:type="paragraph" w:styleId="Title">
    <w:name w:val="Title"/>
    <w:basedOn w:val="HeadingBase"/>
    <w:link w:val="TitleChar"/>
    <w:qFormat/>
    <w:rsid w:val="00535EBD"/>
    <w:pPr>
      <w:spacing w:before="5040"/>
      <w:jc w:val="center"/>
    </w:pPr>
    <w:rPr>
      <w:sz w:val="48"/>
      <w:szCs w:val="72"/>
      <w:lang w:val="en-US"/>
    </w:rPr>
  </w:style>
  <w:style w:type="character" w:customStyle="1" w:styleId="TitleChar">
    <w:name w:val="Title Char"/>
    <w:basedOn w:val="DefaultParagraphFont"/>
    <w:link w:val="Title"/>
    <w:rsid w:val="00535E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EBD"/>
    <w:pPr>
      <w:tabs>
        <w:tab w:val="left" w:pos="3600"/>
        <w:tab w:val="left" w:pos="3958"/>
      </w:tabs>
    </w:pPr>
  </w:style>
  <w:style w:type="paragraph" w:styleId="List">
    <w:name w:val="List"/>
    <w:basedOn w:val="BodyText"/>
    <w:next w:val="BodyText"/>
    <w:rsid w:val="00535EBD"/>
    <w:pPr>
      <w:tabs>
        <w:tab w:val="left" w:pos="340"/>
      </w:tabs>
      <w:spacing w:before="60" w:after="60"/>
      <w:ind w:left="340" w:hanging="340"/>
    </w:pPr>
  </w:style>
  <w:style w:type="paragraph" w:styleId="ListBullet">
    <w:name w:val="List Bullet"/>
    <w:basedOn w:val="List"/>
    <w:rsid w:val="00535EBD"/>
    <w:pPr>
      <w:numPr>
        <w:numId w:val="11"/>
      </w:numPr>
      <w:tabs>
        <w:tab w:val="clear" w:pos="340"/>
      </w:tabs>
      <w:spacing w:before="40" w:after="40"/>
    </w:pPr>
  </w:style>
  <w:style w:type="paragraph" w:customStyle="1" w:styleId="Note">
    <w:name w:val="Note"/>
    <w:basedOn w:val="BodyText"/>
    <w:rsid w:val="00535E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EBD"/>
    <w:pPr>
      <w:framePr w:wrap="auto" w:hAnchor="text" w:y="6049"/>
    </w:pPr>
    <w:rPr>
      <w:color w:val="000000"/>
      <w:sz w:val="40"/>
    </w:rPr>
  </w:style>
  <w:style w:type="paragraph" w:customStyle="1" w:styleId="TOCTitle">
    <w:name w:val="TOCTitle"/>
    <w:basedOn w:val="Heading1"/>
    <w:rsid w:val="00535EBD"/>
    <w:pPr>
      <w:spacing w:after="240"/>
      <w:jc w:val="center"/>
      <w:outlineLvl w:val="9"/>
    </w:pPr>
    <w:rPr>
      <w:caps/>
    </w:rPr>
  </w:style>
  <w:style w:type="paragraph" w:customStyle="1" w:styleId="Version">
    <w:name w:val="Version"/>
    <w:rsid w:val="00535E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EBD"/>
    <w:pPr>
      <w:keepNext w:val="0"/>
      <w:tabs>
        <w:tab w:val="right" w:pos="4176"/>
      </w:tabs>
      <w:ind w:left="198" w:hanging="198"/>
    </w:pPr>
    <w:rPr>
      <w:rFonts w:ascii="Garamond" w:hAnsi="Garamond"/>
    </w:rPr>
  </w:style>
  <w:style w:type="paragraph" w:styleId="IndexHeading">
    <w:name w:val="index heading"/>
    <w:basedOn w:val="Normal"/>
    <w:next w:val="Index1"/>
    <w:semiHidden/>
    <w:rsid w:val="00535EBD"/>
    <w:pPr>
      <w:spacing w:before="120" w:after="120"/>
    </w:pPr>
    <w:rPr>
      <w:rFonts w:ascii="Arial" w:hAnsi="Arial"/>
      <w:b/>
      <w:color w:val="918585"/>
      <w:sz w:val="24"/>
    </w:rPr>
  </w:style>
  <w:style w:type="paragraph" w:styleId="Header">
    <w:name w:val="header"/>
    <w:basedOn w:val="Normal"/>
    <w:link w:val="HeaderChar"/>
    <w:rsid w:val="00535E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EBD"/>
    <w:rPr>
      <w:rFonts w:ascii="Times New Roman" w:eastAsia="Times New Roman" w:hAnsi="Times New Roman" w:cs="Times New Roman"/>
      <w:sz w:val="16"/>
      <w:szCs w:val="20"/>
      <w:lang w:val="en-GB" w:eastAsia="en-US"/>
    </w:rPr>
  </w:style>
  <w:style w:type="paragraph" w:customStyle="1" w:styleId="Chapter">
    <w:name w:val="Chapter"/>
    <w:basedOn w:val="Normal"/>
    <w:rsid w:val="00535EBD"/>
    <w:pPr>
      <w:spacing w:before="240"/>
    </w:pPr>
    <w:rPr>
      <w:rFonts w:ascii="Times New Roman" w:hAnsi="Times New Roman"/>
      <w:smallCaps/>
      <w:spacing w:val="80"/>
      <w:sz w:val="28"/>
    </w:rPr>
  </w:style>
  <w:style w:type="paragraph" w:customStyle="1" w:styleId="InChapter">
    <w:name w:val="InChapter"/>
    <w:basedOn w:val="Heading3"/>
    <w:rsid w:val="00535EBD"/>
    <w:pPr>
      <w:spacing w:after="240"/>
      <w:outlineLvl w:val="9"/>
    </w:pPr>
    <w:rPr>
      <w:noProof/>
    </w:rPr>
  </w:style>
  <w:style w:type="paragraph" w:styleId="Index2">
    <w:name w:val="index 2"/>
    <w:basedOn w:val="Normal"/>
    <w:next w:val="Normal"/>
    <w:semiHidden/>
    <w:rsid w:val="00535EBD"/>
    <w:pPr>
      <w:tabs>
        <w:tab w:val="right" w:pos="4176"/>
      </w:tabs>
      <w:ind w:left="568" w:hanging="284"/>
    </w:pPr>
    <w:rPr>
      <w:rFonts w:ascii="Garamond" w:hAnsi="Garamond"/>
    </w:rPr>
  </w:style>
  <w:style w:type="paragraph" w:customStyle="1" w:styleId="Byline">
    <w:name w:val="Byline"/>
    <w:rsid w:val="00535E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EBD"/>
    <w:pPr>
      <w:tabs>
        <w:tab w:val="clear" w:pos="3600"/>
        <w:tab w:val="clear" w:pos="3958"/>
      </w:tabs>
      <w:jc w:val="right"/>
    </w:pPr>
  </w:style>
  <w:style w:type="character" w:styleId="Emphasis">
    <w:name w:val="Emphasis"/>
    <w:basedOn w:val="DefaultParagraphFont"/>
    <w:qFormat/>
    <w:rsid w:val="00535EBD"/>
    <w:rPr>
      <w:i/>
    </w:rPr>
  </w:style>
  <w:style w:type="paragraph" w:styleId="Caption">
    <w:name w:val="caption"/>
    <w:basedOn w:val="BodyText"/>
    <w:next w:val="Normal"/>
    <w:qFormat/>
    <w:rsid w:val="00535EBD"/>
    <w:pPr>
      <w:framePr w:w="2268" w:hSpace="181" w:vSpace="181" w:wrap="around" w:vAnchor="text" w:hAnchor="page" w:x="1135" w:y="285" w:anchorLock="1"/>
    </w:pPr>
    <w:rPr>
      <w:i/>
    </w:rPr>
  </w:style>
  <w:style w:type="paragraph" w:customStyle="1" w:styleId="MiniTOCTitle">
    <w:name w:val="MiniTOCTitle"/>
    <w:basedOn w:val="Heading4"/>
    <w:rsid w:val="00535EBD"/>
    <w:pPr>
      <w:spacing w:before="240"/>
      <w:outlineLvl w:val="9"/>
    </w:pPr>
    <w:rPr>
      <w:noProof/>
      <w:sz w:val="24"/>
    </w:rPr>
  </w:style>
  <w:style w:type="paragraph" w:customStyle="1" w:styleId="MiniTOCItem">
    <w:name w:val="MiniTOCItem"/>
    <w:basedOn w:val="ListBullet"/>
    <w:rsid w:val="00535EBD"/>
    <w:pPr>
      <w:numPr>
        <w:numId w:val="0"/>
      </w:numPr>
      <w:tabs>
        <w:tab w:val="right" w:leader="dot" w:pos="6521"/>
      </w:tabs>
      <w:spacing w:before="0" w:after="0"/>
    </w:pPr>
  </w:style>
  <w:style w:type="paragraph" w:customStyle="1" w:styleId="TOFTitle">
    <w:name w:val="TOFTitle"/>
    <w:basedOn w:val="TOCTitle"/>
    <w:rsid w:val="00535EBD"/>
  </w:style>
  <w:style w:type="paragraph" w:styleId="TableofFigures">
    <w:name w:val="table of figures"/>
    <w:basedOn w:val="Normal"/>
    <w:next w:val="Normal"/>
    <w:semiHidden/>
    <w:rsid w:val="00535EBD"/>
    <w:pPr>
      <w:tabs>
        <w:tab w:val="right" w:leader="dot" w:pos="9072"/>
      </w:tabs>
      <w:ind w:left="970" w:hanging="403"/>
    </w:pPr>
    <w:rPr>
      <w:rFonts w:ascii="Times New Roman" w:hAnsi="Times New Roman"/>
      <w:b/>
    </w:rPr>
  </w:style>
  <w:style w:type="paragraph" w:styleId="ListNumber">
    <w:name w:val="List Number"/>
    <w:basedOn w:val="List"/>
    <w:rsid w:val="00535EBD"/>
    <w:pPr>
      <w:numPr>
        <w:numId w:val="14"/>
      </w:numPr>
      <w:tabs>
        <w:tab w:val="clear" w:pos="340"/>
      </w:tabs>
    </w:pPr>
  </w:style>
  <w:style w:type="character" w:customStyle="1" w:styleId="WingdingSymbols">
    <w:name w:val="Wingding Symbols"/>
    <w:rsid w:val="00535EBD"/>
    <w:rPr>
      <w:rFonts w:ascii="Wingdings" w:hAnsi="Wingdings"/>
    </w:rPr>
  </w:style>
  <w:style w:type="paragraph" w:customStyle="1" w:styleId="TableHeading">
    <w:name w:val="Table Heading"/>
    <w:basedOn w:val="HeadingBase"/>
    <w:rsid w:val="00535EBD"/>
    <w:pPr>
      <w:keepLines/>
      <w:pBdr>
        <w:bottom w:val="single" w:sz="6" w:space="1" w:color="918585"/>
      </w:pBdr>
      <w:spacing w:before="240"/>
    </w:pPr>
  </w:style>
  <w:style w:type="character" w:customStyle="1" w:styleId="HotSpot">
    <w:name w:val="HotSpot"/>
    <w:rsid w:val="00535EBD"/>
    <w:rPr>
      <w:color w:val="0033CC"/>
      <w:u w:val="none"/>
    </w:rPr>
  </w:style>
  <w:style w:type="paragraph" w:customStyle="1" w:styleId="BodyTextRight">
    <w:name w:val="Body Text Right"/>
    <w:basedOn w:val="BodyText"/>
    <w:rsid w:val="00535EBD"/>
    <w:pPr>
      <w:spacing w:before="0" w:after="0"/>
      <w:jc w:val="right"/>
    </w:pPr>
  </w:style>
  <w:style w:type="paragraph" w:styleId="Index3">
    <w:name w:val="index 3"/>
    <w:basedOn w:val="ListNumber2"/>
    <w:next w:val="Normal"/>
    <w:semiHidden/>
    <w:rsid w:val="00535EBD"/>
    <w:pPr>
      <w:numPr>
        <w:numId w:val="0"/>
      </w:numPr>
      <w:tabs>
        <w:tab w:val="right" w:leader="dot" w:pos="4176"/>
      </w:tabs>
    </w:pPr>
  </w:style>
  <w:style w:type="paragraph" w:styleId="ListNumber2">
    <w:name w:val="List Number 2"/>
    <w:basedOn w:val="List2"/>
    <w:rsid w:val="00535EBD"/>
    <w:pPr>
      <w:numPr>
        <w:numId w:val="9"/>
      </w:numPr>
      <w:tabs>
        <w:tab w:val="clear" w:pos="1060"/>
      </w:tabs>
    </w:pPr>
  </w:style>
  <w:style w:type="paragraph" w:customStyle="1" w:styleId="MarginNote">
    <w:name w:val="Margin Note"/>
    <w:basedOn w:val="BodyText"/>
    <w:rsid w:val="00535E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E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E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EBD"/>
    <w:rPr>
      <w:sz w:val="32"/>
    </w:rPr>
  </w:style>
  <w:style w:type="paragraph" w:customStyle="1" w:styleId="HeadingProcedure">
    <w:name w:val="Heading Procedure"/>
    <w:basedOn w:val="HeadingBase"/>
    <w:next w:val="Normal"/>
    <w:rsid w:val="00535EBD"/>
    <w:pPr>
      <w:tabs>
        <w:tab w:val="left" w:pos="0"/>
      </w:tabs>
      <w:spacing w:before="120" w:after="60"/>
    </w:pPr>
    <w:rPr>
      <w:i/>
      <w:color w:val="918585"/>
      <w:sz w:val="22"/>
    </w:rPr>
  </w:style>
  <w:style w:type="paragraph" w:customStyle="1" w:styleId="TableBodyText">
    <w:name w:val="Table Body Text"/>
    <w:basedOn w:val="BodyText"/>
    <w:rsid w:val="00535EBD"/>
    <w:pPr>
      <w:spacing w:before="60" w:after="60"/>
    </w:pPr>
  </w:style>
  <w:style w:type="paragraph" w:styleId="ListContinue">
    <w:name w:val="List Continue"/>
    <w:basedOn w:val="List"/>
    <w:rsid w:val="00535EBD"/>
    <w:pPr>
      <w:ind w:firstLine="0"/>
    </w:pPr>
  </w:style>
  <w:style w:type="paragraph" w:customStyle="1" w:styleId="ListNote">
    <w:name w:val="List Note"/>
    <w:basedOn w:val="List"/>
    <w:rsid w:val="00535EBD"/>
    <w:pPr>
      <w:pBdr>
        <w:top w:val="single" w:sz="6" w:space="2" w:color="918585"/>
        <w:bottom w:val="single" w:sz="6" w:space="2" w:color="918585"/>
      </w:pBdr>
      <w:tabs>
        <w:tab w:val="left" w:pos="1021"/>
      </w:tabs>
      <w:ind w:firstLine="0"/>
    </w:pPr>
  </w:style>
  <w:style w:type="paragraph" w:customStyle="1" w:styleId="Warning">
    <w:name w:val="Warning"/>
    <w:basedOn w:val="BodyText"/>
    <w:rsid w:val="00535EBD"/>
    <w:pPr>
      <w:shd w:val="clear" w:color="auto" w:fill="D9D9D9"/>
      <w:tabs>
        <w:tab w:val="left" w:pos="992"/>
      </w:tabs>
      <w:ind w:left="119" w:right="119"/>
    </w:pPr>
    <w:rPr>
      <w:sz w:val="20"/>
    </w:rPr>
  </w:style>
  <w:style w:type="paragraph" w:customStyle="1" w:styleId="MarginIcons">
    <w:name w:val="Margin Icons"/>
    <w:basedOn w:val="BodyText"/>
    <w:rsid w:val="00535E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EBD"/>
    <w:rPr>
      <w:rFonts w:ascii="Courier New" w:hAnsi="Courier New"/>
    </w:rPr>
  </w:style>
  <w:style w:type="paragraph" w:customStyle="1" w:styleId="NoteBullet">
    <w:name w:val="Note Bullet"/>
    <w:basedOn w:val="Note"/>
    <w:rsid w:val="00535EBD"/>
    <w:pPr>
      <w:tabs>
        <w:tab w:val="clear" w:pos="680"/>
      </w:tabs>
      <w:spacing w:before="60" w:after="60"/>
    </w:pPr>
  </w:style>
  <w:style w:type="paragraph" w:customStyle="1" w:styleId="SubHeading2">
    <w:name w:val="SubHeading2"/>
    <w:basedOn w:val="HeadingBase"/>
    <w:rsid w:val="00535EBD"/>
    <w:pPr>
      <w:spacing w:before="240" w:after="60"/>
    </w:pPr>
    <w:rPr>
      <w:sz w:val="20"/>
    </w:rPr>
  </w:style>
  <w:style w:type="paragraph" w:customStyle="1" w:styleId="SubHeading1">
    <w:name w:val="SubHeading1"/>
    <w:basedOn w:val="HeadingBase"/>
    <w:rsid w:val="00535EBD"/>
    <w:pPr>
      <w:spacing w:before="240" w:after="60"/>
    </w:pPr>
    <w:rPr>
      <w:color w:val="918585"/>
      <w:sz w:val="22"/>
    </w:rPr>
  </w:style>
  <w:style w:type="paragraph" w:customStyle="1" w:styleId="SideHeading">
    <w:name w:val="Side Heading"/>
    <w:basedOn w:val="HeadingBase"/>
    <w:rsid w:val="00535E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EBD"/>
    <w:pPr>
      <w:numPr>
        <w:numId w:val="10"/>
      </w:numPr>
    </w:pPr>
  </w:style>
  <w:style w:type="paragraph" w:styleId="PlainText">
    <w:name w:val="Plain Text"/>
    <w:basedOn w:val="Normal"/>
    <w:link w:val="PlainTextChar"/>
    <w:rsid w:val="00535EBD"/>
    <w:rPr>
      <w:sz w:val="20"/>
    </w:rPr>
  </w:style>
  <w:style w:type="character" w:customStyle="1" w:styleId="PlainTextChar">
    <w:name w:val="Plain Text Char"/>
    <w:basedOn w:val="DefaultParagraphFont"/>
    <w:link w:val="PlainText"/>
    <w:rsid w:val="00535EBD"/>
    <w:rPr>
      <w:rFonts w:ascii="Courier New" w:eastAsia="Times New Roman" w:hAnsi="Courier New" w:cs="Times New Roman"/>
      <w:sz w:val="20"/>
      <w:szCs w:val="20"/>
      <w:lang w:eastAsia="en-US"/>
    </w:rPr>
  </w:style>
  <w:style w:type="character" w:customStyle="1" w:styleId="MenuOption">
    <w:name w:val="Menu Option"/>
    <w:basedOn w:val="DefaultParagraphFont"/>
    <w:rsid w:val="00535EBD"/>
    <w:rPr>
      <w:b/>
      <w:smallCaps/>
    </w:rPr>
  </w:style>
  <w:style w:type="paragraph" w:customStyle="1" w:styleId="TableListNumber">
    <w:name w:val="Table List Number"/>
    <w:basedOn w:val="ListNumber"/>
    <w:rsid w:val="00535EBD"/>
    <w:pPr>
      <w:numPr>
        <w:numId w:val="0"/>
      </w:numPr>
    </w:pPr>
  </w:style>
  <w:style w:type="paragraph" w:styleId="TOC4">
    <w:name w:val="toc 4"/>
    <w:basedOn w:val="TOCBase"/>
    <w:next w:val="Normal"/>
    <w:semiHidden/>
    <w:rsid w:val="00535EBD"/>
    <w:pPr>
      <w:tabs>
        <w:tab w:val="right" w:leader="dot" w:pos="9071"/>
      </w:tabs>
      <w:ind w:left="1701"/>
    </w:pPr>
  </w:style>
  <w:style w:type="paragraph" w:customStyle="1" w:styleId="ListAlpha">
    <w:name w:val="List Alpha"/>
    <w:basedOn w:val="List"/>
    <w:rsid w:val="00535EBD"/>
    <w:pPr>
      <w:numPr>
        <w:numId w:val="8"/>
      </w:numPr>
    </w:pPr>
  </w:style>
  <w:style w:type="paragraph" w:customStyle="1" w:styleId="ListAlpha2">
    <w:name w:val="List Alpha 2"/>
    <w:basedOn w:val="List2"/>
    <w:rsid w:val="00535EBD"/>
    <w:pPr>
      <w:numPr>
        <w:numId w:val="7"/>
      </w:numPr>
    </w:pPr>
  </w:style>
  <w:style w:type="paragraph" w:styleId="List2">
    <w:name w:val="List 2"/>
    <w:basedOn w:val="BodyText"/>
    <w:rsid w:val="00535EBD"/>
    <w:pPr>
      <w:tabs>
        <w:tab w:val="left" w:pos="680"/>
      </w:tabs>
      <w:spacing w:before="60" w:after="60"/>
      <w:ind w:left="680" w:hanging="340"/>
    </w:pPr>
  </w:style>
  <w:style w:type="paragraph" w:styleId="List3">
    <w:name w:val="List 3"/>
    <w:basedOn w:val="BodyText"/>
    <w:rsid w:val="00535EBD"/>
    <w:pPr>
      <w:tabs>
        <w:tab w:val="left" w:pos="1021"/>
      </w:tabs>
      <w:spacing w:before="60" w:after="60"/>
      <w:ind w:left="1020" w:hanging="340"/>
    </w:pPr>
  </w:style>
  <w:style w:type="paragraph" w:styleId="List4">
    <w:name w:val="List 4"/>
    <w:basedOn w:val="BodyText"/>
    <w:rsid w:val="00535EBD"/>
    <w:pPr>
      <w:tabs>
        <w:tab w:val="left" w:pos="1361"/>
      </w:tabs>
      <w:spacing w:before="60" w:after="60"/>
      <w:ind w:left="1361" w:hanging="340"/>
    </w:pPr>
  </w:style>
  <w:style w:type="paragraph" w:styleId="List5">
    <w:name w:val="List 5"/>
    <w:basedOn w:val="BodyText"/>
    <w:rsid w:val="00535EBD"/>
    <w:pPr>
      <w:tabs>
        <w:tab w:val="left" w:pos="1701"/>
      </w:tabs>
      <w:spacing w:before="60" w:after="60"/>
      <w:ind w:left="1701" w:hanging="340"/>
    </w:pPr>
  </w:style>
  <w:style w:type="paragraph" w:styleId="ListBullet3">
    <w:name w:val="List Bullet 3"/>
    <w:basedOn w:val="List3"/>
    <w:rsid w:val="00535EBD"/>
    <w:pPr>
      <w:numPr>
        <w:numId w:val="13"/>
      </w:numPr>
      <w:tabs>
        <w:tab w:val="clear" w:pos="1021"/>
      </w:tabs>
      <w:ind w:left="1037" w:hanging="357"/>
    </w:pPr>
  </w:style>
  <w:style w:type="paragraph" w:styleId="ListBullet4">
    <w:name w:val="List Bullet 4"/>
    <w:basedOn w:val="List4"/>
    <w:rsid w:val="00535EBD"/>
    <w:pPr>
      <w:numPr>
        <w:numId w:val="2"/>
      </w:numPr>
      <w:tabs>
        <w:tab w:val="clear" w:pos="1361"/>
      </w:tabs>
    </w:pPr>
  </w:style>
  <w:style w:type="paragraph" w:styleId="ListBullet5">
    <w:name w:val="List Bullet 5"/>
    <w:basedOn w:val="List5"/>
    <w:rsid w:val="00535EBD"/>
    <w:pPr>
      <w:numPr>
        <w:numId w:val="3"/>
      </w:numPr>
    </w:pPr>
  </w:style>
  <w:style w:type="paragraph" w:styleId="ListContinue2">
    <w:name w:val="List Continue 2"/>
    <w:basedOn w:val="List2"/>
    <w:rsid w:val="00535EBD"/>
    <w:pPr>
      <w:ind w:firstLine="0"/>
    </w:pPr>
  </w:style>
  <w:style w:type="paragraph" w:styleId="ListContinue3">
    <w:name w:val="List Continue 3"/>
    <w:basedOn w:val="List3"/>
    <w:rsid w:val="00535EBD"/>
    <w:pPr>
      <w:ind w:left="1021" w:firstLine="0"/>
    </w:pPr>
  </w:style>
  <w:style w:type="paragraph" w:styleId="ListContinue4">
    <w:name w:val="List Continue 4"/>
    <w:basedOn w:val="List4"/>
    <w:rsid w:val="00535EBD"/>
    <w:pPr>
      <w:ind w:firstLine="0"/>
    </w:pPr>
  </w:style>
  <w:style w:type="paragraph" w:styleId="ListContinue5">
    <w:name w:val="List Continue 5"/>
    <w:basedOn w:val="List5"/>
    <w:rsid w:val="00535EBD"/>
    <w:pPr>
      <w:ind w:firstLine="0"/>
    </w:pPr>
  </w:style>
  <w:style w:type="paragraph" w:styleId="ListNumber3">
    <w:name w:val="List Number 3"/>
    <w:basedOn w:val="List3"/>
    <w:rsid w:val="00535EBD"/>
    <w:pPr>
      <w:numPr>
        <w:numId w:val="4"/>
      </w:numPr>
    </w:pPr>
  </w:style>
  <w:style w:type="paragraph" w:styleId="ListNumber4">
    <w:name w:val="List Number 4"/>
    <w:basedOn w:val="List4"/>
    <w:rsid w:val="00535EBD"/>
    <w:pPr>
      <w:numPr>
        <w:numId w:val="5"/>
      </w:numPr>
    </w:pPr>
  </w:style>
  <w:style w:type="paragraph" w:styleId="ListNumber5">
    <w:name w:val="List Number 5"/>
    <w:basedOn w:val="List5"/>
    <w:rsid w:val="00535EBD"/>
    <w:pPr>
      <w:numPr>
        <w:numId w:val="6"/>
      </w:numPr>
    </w:pPr>
  </w:style>
  <w:style w:type="paragraph" w:styleId="BlockText">
    <w:name w:val="Block Text"/>
    <w:basedOn w:val="Normal"/>
    <w:rsid w:val="00535EBD"/>
    <w:pPr>
      <w:spacing w:after="120"/>
      <w:ind w:left="1440" w:right="1440"/>
    </w:pPr>
  </w:style>
  <w:style w:type="character" w:customStyle="1" w:styleId="Subscript">
    <w:name w:val="Subscript"/>
    <w:basedOn w:val="DefaultParagraphFont"/>
    <w:rsid w:val="00535EBD"/>
    <w:rPr>
      <w:sz w:val="16"/>
      <w:vertAlign w:val="subscript"/>
    </w:rPr>
  </w:style>
  <w:style w:type="character" w:customStyle="1" w:styleId="Superscript">
    <w:name w:val="Superscript"/>
    <w:basedOn w:val="DefaultParagraphFont"/>
    <w:rsid w:val="00535EBD"/>
    <w:rPr>
      <w:sz w:val="16"/>
      <w:vertAlign w:val="superscript"/>
    </w:rPr>
  </w:style>
  <w:style w:type="character" w:customStyle="1" w:styleId="Symbols">
    <w:name w:val="Symbols"/>
    <w:basedOn w:val="DefaultParagraphFont"/>
    <w:rsid w:val="00535EBD"/>
    <w:rPr>
      <w:rFonts w:ascii="Symbol" w:hAnsi="Symbol"/>
    </w:rPr>
  </w:style>
  <w:style w:type="character" w:customStyle="1" w:styleId="MenuOptions">
    <w:name w:val="Menu Options"/>
    <w:basedOn w:val="DefaultParagraphFont"/>
    <w:rsid w:val="00535EBD"/>
    <w:rPr>
      <w:rFonts w:ascii="Arial Narrow" w:hAnsi="Arial Narrow"/>
      <w:smallCaps/>
    </w:rPr>
  </w:style>
  <w:style w:type="character" w:customStyle="1" w:styleId="Buttons">
    <w:name w:val="Buttons"/>
    <w:basedOn w:val="DefaultParagraphFont"/>
    <w:rsid w:val="00535EBD"/>
    <w:rPr>
      <w:b/>
    </w:rPr>
  </w:style>
  <w:style w:type="character" w:customStyle="1" w:styleId="Underlined">
    <w:name w:val="Underlined"/>
    <w:basedOn w:val="DefaultParagraphFont"/>
    <w:rsid w:val="00535EBD"/>
    <w:rPr>
      <w:u w:val="single"/>
    </w:rPr>
  </w:style>
  <w:style w:type="paragraph" w:customStyle="1" w:styleId="TableBodyTextRight">
    <w:name w:val="Table Body Text Right"/>
    <w:basedOn w:val="TableBodyText"/>
    <w:rsid w:val="00535EBD"/>
    <w:pPr>
      <w:widowControl w:val="0"/>
      <w:autoSpaceDE w:val="0"/>
      <w:autoSpaceDN w:val="0"/>
      <w:adjustRightInd w:val="0"/>
      <w:jc w:val="right"/>
    </w:pPr>
    <w:rPr>
      <w:rFonts w:cs="Arial"/>
      <w:szCs w:val="18"/>
    </w:rPr>
  </w:style>
  <w:style w:type="paragraph" w:customStyle="1" w:styleId="CopyrightText">
    <w:name w:val="Copyright Text"/>
    <w:basedOn w:val="BodyText"/>
    <w:rsid w:val="00535EBD"/>
    <w:rPr>
      <w:sz w:val="18"/>
    </w:rPr>
  </w:style>
  <w:style w:type="paragraph" w:customStyle="1" w:styleId="BodySmallRight">
    <w:name w:val="Body Small Right"/>
    <w:basedOn w:val="BodyTextRight"/>
    <w:rsid w:val="00535EBD"/>
    <w:rPr>
      <w:sz w:val="18"/>
      <w:szCs w:val="18"/>
    </w:rPr>
  </w:style>
  <w:style w:type="paragraph" w:customStyle="1" w:styleId="MarginEdition">
    <w:name w:val="Margin Edition"/>
    <w:basedOn w:val="MarginNote"/>
    <w:rsid w:val="00535EBD"/>
    <w:pPr>
      <w:spacing w:before="0" w:after="0"/>
    </w:pPr>
    <w:rPr>
      <w:rFonts w:ascii="Times New Roman" w:hAnsi="Times New Roman"/>
      <w:color w:val="999999"/>
    </w:rPr>
  </w:style>
  <w:style w:type="paragraph" w:customStyle="1" w:styleId="Spacer">
    <w:name w:val="Spacer"/>
    <w:basedOn w:val="Normal"/>
    <w:rsid w:val="00535EBD"/>
    <w:rPr>
      <w:sz w:val="2"/>
      <w:szCs w:val="2"/>
    </w:rPr>
  </w:style>
  <w:style w:type="character" w:customStyle="1" w:styleId="Small">
    <w:name w:val="Small"/>
    <w:basedOn w:val="DefaultParagraphFont"/>
    <w:rsid w:val="00535EBD"/>
    <w:rPr>
      <w:sz w:val="16"/>
    </w:rPr>
  </w:style>
  <w:style w:type="paragraph" w:customStyle="1" w:styleId="WideTable">
    <w:name w:val="Wide Table"/>
    <w:basedOn w:val="Normal"/>
    <w:rsid w:val="00535EBD"/>
    <w:pPr>
      <w:ind w:left="-1418"/>
    </w:pPr>
    <w:rPr>
      <w:sz w:val="2"/>
      <w:szCs w:val="2"/>
    </w:rPr>
  </w:style>
  <w:style w:type="character" w:styleId="PageNumber">
    <w:name w:val="page number"/>
    <w:basedOn w:val="DefaultParagraphFont"/>
    <w:rsid w:val="00535EBD"/>
  </w:style>
  <w:style w:type="paragraph" w:styleId="Quote">
    <w:name w:val="Quote"/>
    <w:basedOn w:val="Heading1"/>
    <w:link w:val="QuoteChar"/>
    <w:qFormat/>
    <w:rsid w:val="00535EBD"/>
    <w:rPr>
      <w:b w:val="0"/>
      <w:sz w:val="72"/>
      <w:szCs w:val="72"/>
      <w:lang w:val="en-NZ"/>
    </w:rPr>
  </w:style>
  <w:style w:type="character" w:customStyle="1" w:styleId="QuoteChar">
    <w:name w:val="Quote Char"/>
    <w:basedOn w:val="DefaultParagraphFont"/>
    <w:link w:val="Quote"/>
    <w:rsid w:val="00535E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EBD"/>
    <w:pPr>
      <w:pageBreakBefore/>
    </w:pPr>
  </w:style>
  <w:style w:type="paragraph" w:customStyle="1" w:styleId="Border">
    <w:name w:val="Border"/>
    <w:basedOn w:val="Normal"/>
    <w:qFormat/>
    <w:rsid w:val="00535E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EBD"/>
    <w:rPr>
      <w:b/>
      <w:bCs/>
      <w:i/>
      <w:iCs/>
      <w:color w:val="auto"/>
    </w:rPr>
  </w:style>
  <w:style w:type="paragraph" w:styleId="IntenseQuote">
    <w:name w:val="Intense Quote"/>
    <w:basedOn w:val="Normal"/>
    <w:next w:val="Normal"/>
    <w:link w:val="IntenseQuoteChar"/>
    <w:uiPriority w:val="30"/>
    <w:qFormat/>
    <w:rsid w:val="00535E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E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EBD"/>
    <w:rPr>
      <w:smallCaps/>
      <w:color w:val="auto"/>
      <w:u w:val="single"/>
    </w:rPr>
  </w:style>
  <w:style w:type="character" w:styleId="IntenseReference">
    <w:name w:val="Intense Reference"/>
    <w:basedOn w:val="DefaultParagraphFont"/>
    <w:uiPriority w:val="32"/>
    <w:qFormat/>
    <w:rsid w:val="00535EBD"/>
    <w:rPr>
      <w:b/>
      <w:bCs/>
      <w:smallCaps/>
      <w:color w:val="auto"/>
      <w:spacing w:val="5"/>
      <w:u w:val="single"/>
    </w:rPr>
  </w:style>
  <w:style w:type="paragraph" w:customStyle="1" w:styleId="2ColumnHeading">
    <w:name w:val="2Column Heading"/>
    <w:basedOn w:val="BodyText"/>
    <w:qFormat/>
    <w:rsid w:val="00535EBD"/>
    <w:pPr>
      <w:spacing w:after="60"/>
      <w:ind w:left="-2268"/>
    </w:pPr>
    <w:rPr>
      <w:b/>
    </w:rPr>
  </w:style>
  <w:style w:type="paragraph" w:customStyle="1" w:styleId="Heading1TOC">
    <w:name w:val="Heading1 TOC"/>
    <w:basedOn w:val="Normal"/>
    <w:qFormat/>
    <w:rsid w:val="00535EBD"/>
    <w:pPr>
      <w:spacing w:before="240" w:after="120"/>
    </w:pPr>
    <w:rPr>
      <w:rFonts w:ascii="Times New Roman" w:hAnsi="Times New Roman"/>
      <w:b/>
      <w:sz w:val="32"/>
    </w:rPr>
  </w:style>
  <w:style w:type="paragraph" w:customStyle="1" w:styleId="Heading2TOC">
    <w:name w:val="Heading2 TOC"/>
    <w:basedOn w:val="Normal"/>
    <w:qFormat/>
    <w:rsid w:val="00535EBD"/>
    <w:pPr>
      <w:spacing w:before="240" w:after="60"/>
    </w:pPr>
    <w:rPr>
      <w:rFonts w:ascii="Times New Roman" w:hAnsi="Times New Roman"/>
      <w:b/>
      <w:sz w:val="28"/>
    </w:rPr>
  </w:style>
  <w:style w:type="character" w:customStyle="1" w:styleId="Underline">
    <w:name w:val="Underline"/>
    <w:basedOn w:val="DefaultParagraphFont"/>
    <w:qFormat/>
    <w:rsid w:val="00535EBD"/>
    <w:rPr>
      <w:u w:val="single"/>
    </w:rPr>
  </w:style>
  <w:style w:type="character" w:customStyle="1" w:styleId="BoldandItalics">
    <w:name w:val="Bold and Italics"/>
    <w:qFormat/>
    <w:rsid w:val="00535EBD"/>
    <w:rPr>
      <w:b/>
      <w:i/>
      <w:u w:val="none"/>
    </w:rPr>
  </w:style>
  <w:style w:type="paragraph" w:styleId="BalloonText">
    <w:name w:val="Balloon Text"/>
    <w:basedOn w:val="Normal"/>
    <w:link w:val="BalloonTextChar"/>
    <w:rsid w:val="00535EBD"/>
    <w:rPr>
      <w:rFonts w:ascii="Tahoma" w:hAnsi="Tahoma" w:cs="Tahoma"/>
      <w:sz w:val="16"/>
      <w:szCs w:val="16"/>
    </w:rPr>
  </w:style>
  <w:style w:type="character" w:customStyle="1" w:styleId="BalloonTextChar">
    <w:name w:val="Balloon Text Char"/>
    <w:basedOn w:val="DefaultParagraphFont"/>
    <w:link w:val="BalloonText"/>
    <w:rsid w:val="00535E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E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E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EBD"/>
    <w:rPr>
      <w:b/>
      <w:color w:val="660033"/>
      <w:spacing w:val="0"/>
    </w:rPr>
  </w:style>
  <w:style w:type="paragraph" w:customStyle="1" w:styleId="Nameditemlist">
    <w:name w:val="Named item list"/>
    <w:basedOn w:val="BodyText"/>
    <w:qFormat/>
    <w:rsid w:val="00535EBD"/>
    <w:pPr>
      <w:tabs>
        <w:tab w:val="left" w:pos="2835"/>
      </w:tabs>
      <w:ind w:left="2835" w:hanging="2835"/>
    </w:pPr>
  </w:style>
  <w:style w:type="paragraph" w:customStyle="1" w:styleId="BodyTextnopadding">
    <w:name w:val="Body Text no padding"/>
    <w:basedOn w:val="BodyText"/>
    <w:qFormat/>
    <w:rsid w:val="00535EBD"/>
    <w:pPr>
      <w:spacing w:before="0" w:after="0"/>
    </w:pPr>
  </w:style>
  <w:style w:type="paragraph" w:customStyle="1" w:styleId="BodyTextBold">
    <w:name w:val="Body Text Bold"/>
    <w:basedOn w:val="BodyText"/>
    <w:qFormat/>
    <w:rsid w:val="00535EBD"/>
    <w:rPr>
      <w:b/>
    </w:rPr>
  </w:style>
  <w:style w:type="character" w:styleId="Hyperlink">
    <w:name w:val="Hyperlink"/>
    <w:basedOn w:val="DefaultParagraphFont"/>
    <w:uiPriority w:val="99"/>
    <w:unhideWhenUsed/>
    <w:rsid w:val="00AB50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4604</Characters>
  <Application>Microsoft Office Word</Application>
  <DocSecurity>0</DocSecurity>
  <Lines>219</Lines>
  <Paragraphs>109</Paragraphs>
  <ScaleCrop>false</ScaleCrop>
  <Company>Author-it Software Corporation Ltd.</Company>
  <LinksUpToDate>false</LinksUpToDate>
  <CharactersWithSpaces>5235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TLID3023 Use specialised liquid bulk gas transfer equipment</dc:title>
  <dc:subject>Approved</dc:subject>
  <dc:creator>Industry Skills Australia</dc:creator>
  <cp:keywords>Release: 2</cp:keywords>
  <dc:description>Review Date: 12 April 2008</dc:description>
  <cp:lastModifiedBy>HSD_TPCMSd.prod</cp:lastModifiedBy>
  <cp:revision>3</cp:revision>
  <dcterms:created xsi:type="dcterms:W3CDTF">2024-07-12T08:07:00Z</dcterms:created>
  <dcterms:modified xsi:type="dcterms:W3CDTF">2024-07-12T08:07:00Z</dcterms:modified>
</cp:coreProperties>
</file>