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E8F" w:rsidP="007D5E8F">
      <w:pPr>
        <w:pStyle w:val="Title"/>
      </w:pPr>
      <w:r>
        <w:fldChar w:fldCharType="begin"/>
      </w:r>
      <w:r>
        <w:instrText xml:space="preserve"> TITLE   \* MERGEFORMAT </w:instrText>
      </w:r>
      <w:r>
        <w:fldChar w:fldCharType="separate"/>
      </w:r>
      <w:r>
        <w:t>TLID3023 Use specialised liquid bulk gas transfer equipment</w:t>
      </w:r>
      <w:r>
        <w:fldChar w:fldCharType="end"/>
      </w:r>
    </w:p>
    <w:p w:rsidR="007D5E8F" w:rsidP="007D5E8F">
      <w:pPr>
        <w:pStyle w:val="Version"/>
        <w:sectPr w:rsidSect="00B061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61C4" w:rsidP="00B061C4">
      <w:pPr>
        <w:pStyle w:val="SuperHeading"/>
      </w:pPr>
      <w:r w:rsidRPr="00B061C4">
        <w:t>TLID3023 Use specialised liquid bulk gas transfer equipment</w:t>
      </w:r>
    </w:p>
    <w:p w:rsidR="00000000" w:rsidRPr="00B061C4" w:rsidP="00B061C4">
      <w:pPr>
        <w:pStyle w:val="Heading1"/>
      </w:pPr>
      <w:bookmarkStart w:id="1" w:name="O_1196406"/>
      <w:bookmarkEnd w:id="1"/>
      <w:r w:rsidRPr="00B061C4">
        <w:t>Modification History</w:t>
      </w:r>
    </w:p>
    <w:tbl>
      <w:tblPr>
        <w:tblW w:w="9497" w:type="dxa"/>
        <w:tblLayout w:type="fixed"/>
        <w:tblCellMar>
          <w:left w:w="62" w:type="dxa"/>
          <w:right w:w="62" w:type="dxa"/>
        </w:tblCellMar>
        <w:tblLook w:val="0000"/>
      </w:tblPr>
      <w:tblGrid>
        <w:gridCol w:w="9497"/>
      </w:tblGrid>
      <w:tr w:rsidTr="00B0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Release 2.</w:t>
            </w:r>
            <w:r w:rsidRPr="00B061C4">
              <w:t xml:space="preserve"> This is the second release of this unit of competency in the TLI Transport and Logistics Training Package.  </w:t>
            </w:r>
          </w:p>
          <w:p w:rsidR="00000000" w:rsidRPr="00B061C4" w:rsidP="00B061C4">
            <w:pPr>
              <w:pStyle w:val="ListBullet2"/>
            </w:pPr>
            <w:r w:rsidRPr="00B061C4">
              <w:t>Minor changes to unit Application</w:t>
            </w:r>
          </w:p>
          <w:p w:rsidR="00000000" w:rsidP="00B061C4">
            <w:pPr>
              <w:pStyle w:val="ListBullet2"/>
              <w:rPr>
                <w:lang w:val="en-NZ"/>
              </w:rPr>
            </w:pPr>
            <w:r w:rsidRPr="00B061C4">
              <w:t>Minor changes to Assessment Conditions.</w:t>
            </w:r>
          </w:p>
        </w:tc>
      </w:tr>
      <w:tr w:rsidTr="00B0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Release 1.</w:t>
            </w:r>
            <w:r w:rsidRPr="00B061C4">
              <w:t xml:space="preserve"> This is th</w:t>
            </w:r>
            <w:r w:rsidRPr="00B061C4">
              <w:t>e first release of this unit of competency in the TLI Transport and Logistics Training Package.</w:t>
            </w:r>
          </w:p>
        </w:tc>
      </w:tr>
    </w:tbl>
    <w:p w:rsidR="007D5E8F" w:rsidP="00B061C4">
      <w:pPr>
        <w:pStyle w:val="NoPaddingFontSize1"/>
      </w:pPr>
    </w:p>
    <w:p w:rsidR="007D5E8F" w:rsidP="00B061C4">
      <w:pPr>
        <w:pStyle w:val="NoPaddingFontSize1"/>
      </w:pPr>
    </w:p>
    <w:p w:rsidR="00000000" w:rsidRPr="00B061C4" w:rsidP="00B061C4">
      <w:pPr>
        <w:pStyle w:val="Heading1"/>
      </w:pPr>
      <w:bookmarkStart w:id="2" w:name="O_1196405"/>
      <w:bookmarkEnd w:id="2"/>
      <w:r w:rsidRPr="00B061C4">
        <w:t>Application</w:t>
      </w:r>
    </w:p>
    <w:tbl>
      <w:tblPr>
        <w:tblW w:w="9497" w:type="dxa"/>
        <w:tblLayout w:type="fixed"/>
        <w:tblCellMar>
          <w:left w:w="62" w:type="dxa"/>
          <w:right w:w="62" w:type="dxa"/>
        </w:tblCellMar>
        <w:tblLook w:val="0000"/>
      </w:tblPr>
      <w:tblGrid>
        <w:gridCol w:w="9497"/>
      </w:tblGrid>
      <w:tr w:rsidTr="00B0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t>This unit involves the skills and knowledge required to use specialised bulk gas transfer equipment.</w:t>
            </w:r>
          </w:p>
          <w:p w:rsidR="00000000" w:rsidRPr="00B061C4" w:rsidP="00B061C4">
            <w:pPr>
              <w:pStyle w:val="BodyText"/>
            </w:pPr>
            <w:r w:rsidRPr="00B061C4">
              <w:t>It includes plannin</w:t>
            </w:r>
            <w:r w:rsidRPr="00B061C4">
              <w:t>g work, transferring gas in accordance with regulatory and operational requirements, monitoring and operating controls, and completing all operations, as required, to load and unload liquid bulk gas in accordance with the current Australian Dangerous Goods</w:t>
            </w:r>
            <w:r w:rsidRPr="00B061C4">
              <w:t xml:space="preserve"> (ADG) Code and relevant state and/or territory regulations.</w:t>
            </w:r>
          </w:p>
          <w:p w:rsidR="00000000" w:rsidRPr="00B061C4" w:rsidP="00B061C4">
            <w:pPr>
              <w:pStyle w:val="BodyText"/>
            </w:pPr>
            <w:r w:rsidRPr="00B061C4">
              <w:t xml:space="preserve">Work is performed under general supervision. </w:t>
            </w:r>
          </w:p>
          <w:p w:rsidR="00000000" w:rsidRPr="00B061C4" w:rsidP="00B061C4">
            <w:pPr>
              <w:pStyle w:val="BodyText"/>
            </w:pPr>
            <w:r w:rsidRPr="00B061C4">
              <w:t>No licensing, legislative or certification requirements apply to this unit at the time of publication.</w:t>
            </w:r>
          </w:p>
        </w:tc>
      </w:tr>
    </w:tbl>
    <w:p w:rsidR="007D5E8F" w:rsidP="00B061C4">
      <w:pPr>
        <w:pStyle w:val="NoPaddingFontSize1"/>
      </w:pPr>
    </w:p>
    <w:p w:rsidR="007D5E8F" w:rsidP="00B061C4">
      <w:pPr>
        <w:pStyle w:val="NoPaddingFontSize1"/>
      </w:pPr>
    </w:p>
    <w:p w:rsidR="00000000" w:rsidRPr="00B061C4" w:rsidP="00B061C4">
      <w:pPr>
        <w:pStyle w:val="Heading1"/>
      </w:pPr>
      <w:bookmarkStart w:id="3" w:name="O_1196404"/>
      <w:bookmarkEnd w:id="3"/>
      <w:r w:rsidRPr="00B061C4">
        <w:t>Pre-requisite Unit</w:t>
      </w:r>
    </w:p>
    <w:tbl>
      <w:tblPr>
        <w:tblW w:w="9497" w:type="dxa"/>
        <w:tblLayout w:type="fixed"/>
        <w:tblCellMar>
          <w:left w:w="62" w:type="dxa"/>
          <w:right w:w="62" w:type="dxa"/>
        </w:tblCellMar>
        <w:tblLook w:val="0000"/>
      </w:tblPr>
      <w:tblGrid>
        <w:gridCol w:w="9497"/>
      </w:tblGrid>
      <w:tr w:rsidTr="00B0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t>Not a</w:t>
            </w:r>
            <w:r w:rsidRPr="00B061C4">
              <w:t>pplicable.</w:t>
            </w:r>
          </w:p>
        </w:tc>
      </w:tr>
    </w:tbl>
    <w:p w:rsidR="007D5E8F" w:rsidP="00B061C4">
      <w:pPr>
        <w:pStyle w:val="NoPaddingFontSize1"/>
      </w:pPr>
    </w:p>
    <w:p w:rsidR="007D5E8F" w:rsidP="00B061C4">
      <w:pPr>
        <w:pStyle w:val="NoPaddingFontSize1"/>
      </w:pPr>
    </w:p>
    <w:p w:rsidR="00000000" w:rsidRPr="00B061C4" w:rsidP="00B061C4">
      <w:pPr>
        <w:pStyle w:val="Heading1"/>
      </w:pPr>
      <w:bookmarkStart w:id="4" w:name="O_1196403"/>
      <w:bookmarkEnd w:id="4"/>
      <w:r w:rsidRPr="00B061C4">
        <w:t>Competency Field</w:t>
      </w:r>
    </w:p>
    <w:tbl>
      <w:tblPr>
        <w:tblW w:w="9497" w:type="dxa"/>
        <w:tblLayout w:type="fixed"/>
        <w:tblCellMar>
          <w:left w:w="62" w:type="dxa"/>
          <w:right w:w="62" w:type="dxa"/>
        </w:tblCellMar>
        <w:tblLook w:val="0000"/>
      </w:tblPr>
      <w:tblGrid>
        <w:gridCol w:w="9497"/>
      </w:tblGrid>
      <w:tr w:rsidTr="00B0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t>D – Load Handling</w:t>
            </w:r>
          </w:p>
        </w:tc>
      </w:tr>
    </w:tbl>
    <w:p w:rsidR="007D5E8F" w:rsidP="00B061C4">
      <w:pPr>
        <w:pStyle w:val="NoPaddingFontSize1"/>
      </w:pPr>
    </w:p>
    <w:p w:rsidR="007D5E8F" w:rsidP="00B061C4">
      <w:pPr>
        <w:pStyle w:val="NoPaddingFontSize1"/>
      </w:pPr>
    </w:p>
    <w:p w:rsidR="00000000" w:rsidRPr="00B061C4" w:rsidP="00B061C4">
      <w:pPr>
        <w:pStyle w:val="Heading1"/>
      </w:pPr>
      <w:bookmarkStart w:id="5" w:name="O_1196402"/>
      <w:bookmarkEnd w:id="5"/>
      <w:r w:rsidRPr="00B061C4">
        <w:t>Unit Sector</w:t>
      </w:r>
    </w:p>
    <w:tbl>
      <w:tblPr>
        <w:tblW w:w="9497" w:type="dxa"/>
        <w:tblLayout w:type="fixed"/>
        <w:tblCellMar>
          <w:left w:w="62" w:type="dxa"/>
          <w:right w:w="62" w:type="dxa"/>
        </w:tblCellMar>
        <w:tblLook w:val="0000"/>
      </w:tblPr>
      <w:tblGrid>
        <w:gridCol w:w="9497"/>
      </w:tblGrid>
      <w:tr w:rsidTr="00B0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t>Not applicable.</w:t>
            </w:r>
          </w:p>
        </w:tc>
      </w:tr>
    </w:tbl>
    <w:p w:rsidR="007D5E8F" w:rsidP="00B061C4">
      <w:pPr>
        <w:pStyle w:val="NoPaddingFontSize1"/>
      </w:pPr>
    </w:p>
    <w:p w:rsidR="007D5E8F" w:rsidP="00B061C4">
      <w:pPr>
        <w:pStyle w:val="NoPaddingFontSize1"/>
      </w:pPr>
    </w:p>
    <w:p w:rsidR="00000000" w:rsidRPr="00B061C4" w:rsidP="00B061C4">
      <w:pPr>
        <w:pStyle w:val="Heading1"/>
      </w:pPr>
      <w:bookmarkStart w:id="6" w:name="O_1196401"/>
      <w:bookmarkEnd w:id="6"/>
      <w:r w:rsidRPr="00B061C4">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B061C4">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PERFORMANCE CRITERIA</w:t>
            </w:r>
          </w:p>
        </w:tc>
      </w:tr>
      <w:tr w:rsidTr="00B061C4">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 xml:space="preserve">Elements describe the </w:t>
            </w:r>
            <w:r w:rsidRPr="00B061C4">
              <w:t>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 xml:space="preserve">Performance criteria describe the performance needed to demonstrate </w:t>
            </w:r>
            <w:r w:rsidRPr="00B061C4">
              <w:t>achievement of the element.</w:t>
            </w:r>
          </w:p>
        </w:tc>
      </w:tr>
      <w:tr w:rsidTr="00B061C4">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Plan work</w:t>
            </w: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Job hazards are identified and required actions taken to minimise, control or eliminate identified hazards</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Gas transfer method is ident</w:t>
            </w:r>
            <w:r w:rsidRPr="00B061C4">
              <w:t>ified for loading and unloading as liquefied or gaseous state</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Precautions are undertaken to eliminate all ignition sources</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Specialised handling requirements for particular gas are identified and relevant workplace procedures are taken into account when planning work</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1.5</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Traffic flow, vehicle positioning and work area conditions are assessed to ensure safe operation and no i</w:t>
            </w:r>
            <w:r w:rsidRPr="00B061C4">
              <w:t>njury to people, or damage to equipment, loads or facilities</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1.6</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 xml:space="preserve">Characteristics of gas, transfer and holding method are taken into account when evaluating procedural requirements, special precautions for method, equipment and, as required, appropriate </w:t>
            </w:r>
            <w:r w:rsidRPr="00B061C4">
              <w:t xml:space="preserve">attachments to transfer load </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1.7</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Potential occurrences in work area that may affect safety and efficiency of operations are reported to appropriate personnel</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1.8</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 xml:space="preserve">Gas transfer is planned, taking into account requirements of load, transfer method, storage facility, transport mode, load weight, volume, viscosity and equipment capacity </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1.9</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Load is checked prior to and at completion of transfer to ensure ullage and/</w:t>
            </w:r>
            <w:r w:rsidRPr="00B061C4">
              <w:t>or maximum permitted capacity complies with current ADG Code</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1.10</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Adjustments are made to process to accommodate special requirements such as temperature control and combustion</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1.11</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Required personal protective equipment (PPE), signage, barriers and special precautions are identified in plan and utilised</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1.12</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Workplace procedures to deal with leakages and ruptures are identified</w:t>
            </w:r>
          </w:p>
        </w:tc>
      </w:tr>
      <w:tr w:rsidTr="00B061C4">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Transfer material</w:t>
            </w: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Equipment is prepared and ap</w:t>
            </w:r>
            <w:r w:rsidRPr="00B061C4">
              <w:t>propriate attachment is fitted</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Equipment controls are checked for correct operational status before commencing transfer</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 xml:space="preserve">Instruments and gauges are monitored during operations to </w:t>
            </w:r>
            <w:r w:rsidRPr="00B061C4">
              <w:t>ensure operation is within manufacturer specifications, enterprise schedule and safety requirements</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2.4</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Speed of operation is managed for safety and efficiency of materials movement and equipment</w:t>
            </w:r>
            <w:r w:rsidRPr="00B061C4">
              <w:t xml:space="preserve"> operations</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2.5</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Faults or damage to equipment are immediately reported to appropriate personnel</w:t>
            </w:r>
          </w:p>
        </w:tc>
      </w:tr>
      <w:tr w:rsidTr="00B061C4">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Monitor and operate controls</w:t>
            </w: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Equipment controls are monitored and operated in accordance with manufacturer operating instructions</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Control systems are monitored in accordance with statutory authority regulations, manufacturer guidelines and site workplace procedures</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Gas is transferred ensuring no injury to personnel or damage to equipment or goods</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3.4</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Faults are identified a</w:t>
            </w:r>
            <w:r w:rsidRPr="00B061C4">
              <w:t>nd reported in accordance with workplace procedures</w:t>
            </w:r>
          </w:p>
        </w:tc>
      </w:tr>
      <w:tr w:rsidTr="00B061C4">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Complete operations</w:t>
            </w: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Equipment is shut down in accordance with manufacturer guidelines without injury to personnel or damage to equipment, loads or facilities in accordance with workplace procedures</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Clean up methods for transfer equipment are completed in accordance with workplace procedures</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4.3</w:t>
            </w:r>
          </w:p>
        </w:tc>
        <w:tc>
          <w:tcPr>
            <w:tcW w:w="6083"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Equipment is secured in accordance with workplace procedures for appropriate equipment</w:t>
            </w:r>
          </w:p>
        </w:tc>
      </w:tr>
      <w:tr w:rsidTr="00B061C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061C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rPr>
                <w:rStyle w:val="SpecialBold"/>
              </w:rPr>
              <w:t>4.4</w:t>
            </w:r>
          </w:p>
        </w:tc>
        <w:tc>
          <w:tcPr>
            <w:tcW w:w="6083"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t>Workplace documentation is completed and filed in accordance with workplace procedures</w:t>
            </w:r>
          </w:p>
        </w:tc>
      </w:tr>
    </w:tbl>
    <w:p w:rsidR="007D5E8F" w:rsidP="00B061C4">
      <w:pPr>
        <w:pStyle w:val="NoPaddingFontSize1"/>
      </w:pPr>
    </w:p>
    <w:p w:rsidR="007D5E8F" w:rsidP="00B061C4">
      <w:pPr>
        <w:pStyle w:val="NoPaddingFontSize1"/>
      </w:pPr>
    </w:p>
    <w:p w:rsidR="00000000" w:rsidRPr="00B061C4" w:rsidP="00B061C4">
      <w:pPr>
        <w:pStyle w:val="Heading1"/>
      </w:pPr>
      <w:bookmarkStart w:id="7" w:name="O_1196400"/>
      <w:bookmarkEnd w:id="7"/>
      <w:r w:rsidRPr="00B061C4">
        <w:t>Foundation Skills</w:t>
      </w:r>
    </w:p>
    <w:tbl>
      <w:tblPr>
        <w:tblW w:w="9497" w:type="dxa"/>
        <w:tblLayout w:type="fixed"/>
        <w:tblCellMar>
          <w:left w:w="62" w:type="dxa"/>
          <w:right w:w="62" w:type="dxa"/>
        </w:tblCellMar>
        <w:tblLook w:val="0000"/>
      </w:tblPr>
      <w:tblGrid>
        <w:gridCol w:w="9497"/>
      </w:tblGrid>
      <w:tr w:rsidTr="00B0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t>Foundation skills essential to performance are explicit in the performance criteria of this unit of competency.</w:t>
            </w:r>
          </w:p>
        </w:tc>
      </w:tr>
    </w:tbl>
    <w:p w:rsidR="007D5E8F" w:rsidP="00B061C4">
      <w:pPr>
        <w:pStyle w:val="NoPaddingFontSize1"/>
      </w:pPr>
    </w:p>
    <w:p w:rsidR="007D5E8F" w:rsidP="00B061C4">
      <w:pPr>
        <w:pStyle w:val="NoPaddingFontSize1"/>
      </w:pPr>
    </w:p>
    <w:p w:rsidR="00000000" w:rsidRPr="00B061C4" w:rsidP="00B061C4">
      <w:pPr>
        <w:pStyle w:val="Heading1"/>
      </w:pPr>
      <w:bookmarkStart w:id="8" w:name="O_1196399"/>
      <w:bookmarkEnd w:id="8"/>
      <w:r w:rsidRPr="00B061C4">
        <w:t>Range of Conditions</w:t>
      </w:r>
    </w:p>
    <w:tbl>
      <w:tblPr>
        <w:tblW w:w="9497" w:type="dxa"/>
        <w:tblLayout w:type="fixed"/>
        <w:tblCellMar>
          <w:left w:w="62" w:type="dxa"/>
          <w:right w:w="62" w:type="dxa"/>
        </w:tblCellMar>
        <w:tblLook w:val="0000"/>
      </w:tblPr>
      <w:tblGrid>
        <w:gridCol w:w="9497"/>
      </w:tblGrid>
      <w:tr w:rsidTr="00B0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t>Range is restricted to essential operating conditions and any other variables essential to the work environment.</w:t>
            </w:r>
          </w:p>
          <w:p w:rsidR="00000000" w:rsidRPr="00B061C4" w:rsidP="00B061C4">
            <w:pPr>
              <w:pStyle w:val="BodyText"/>
            </w:pPr>
            <w:r w:rsidRPr="00B061C4">
              <w:t>Non-essential conditions can be found in the TLI Transport and Logistics Training Package Companion Volume Impleme</w:t>
            </w:r>
            <w:r w:rsidRPr="00B061C4">
              <w:t>ntation Guide.</w:t>
            </w:r>
          </w:p>
        </w:tc>
      </w:tr>
    </w:tbl>
    <w:p w:rsidR="007D5E8F" w:rsidP="00B061C4">
      <w:pPr>
        <w:pStyle w:val="NoPaddingFontSize1"/>
      </w:pPr>
    </w:p>
    <w:p w:rsidR="007D5E8F" w:rsidP="00B061C4">
      <w:pPr>
        <w:pStyle w:val="NoPaddingFontSize1"/>
      </w:pPr>
    </w:p>
    <w:p w:rsidR="00000000" w:rsidRPr="00B061C4" w:rsidP="00B061C4">
      <w:pPr>
        <w:pStyle w:val="Heading1"/>
      </w:pPr>
      <w:bookmarkStart w:id="9" w:name="O_1196398"/>
      <w:bookmarkEnd w:id="9"/>
      <w:r w:rsidRPr="00B061C4">
        <w:t>Unit Mapping Information</w:t>
      </w:r>
    </w:p>
    <w:tbl>
      <w:tblPr>
        <w:tblW w:w="9497" w:type="dxa"/>
        <w:tblLayout w:type="fixed"/>
        <w:tblCellMar>
          <w:left w:w="62" w:type="dxa"/>
          <w:right w:w="62" w:type="dxa"/>
        </w:tblCellMar>
        <w:tblLook w:val="0000"/>
      </w:tblPr>
      <w:tblGrid>
        <w:gridCol w:w="9497"/>
      </w:tblGrid>
      <w:tr w:rsidTr="00B0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t>This unit replaces and is equivalent to TLID3023A Use specialised liquid bulk gas transfer equipment.</w:t>
            </w:r>
          </w:p>
        </w:tc>
      </w:tr>
    </w:tbl>
    <w:p w:rsidR="007D5E8F" w:rsidP="00B061C4">
      <w:pPr>
        <w:pStyle w:val="NoPaddingFontSize1"/>
      </w:pPr>
    </w:p>
    <w:p w:rsidR="007D5E8F" w:rsidP="00B061C4">
      <w:pPr>
        <w:pStyle w:val="NoPaddingFontSize1"/>
      </w:pPr>
    </w:p>
    <w:p w:rsidR="00000000" w:rsidRPr="00B061C4" w:rsidP="00B061C4">
      <w:pPr>
        <w:pStyle w:val="Heading1"/>
      </w:pPr>
      <w:bookmarkStart w:id="10" w:name="O_1196407"/>
      <w:bookmarkEnd w:id="10"/>
      <w:r w:rsidRPr="00B061C4">
        <w:t>Links</w:t>
      </w:r>
    </w:p>
    <w:p w:rsidR="00000000" w:rsidRPr="00B061C4" w:rsidP="007D5E8F">
      <w:pPr>
        <w:pStyle w:val="BodyText"/>
      </w:pPr>
      <w:r w:rsidRPr="00B061C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71B80">
        <w:rPr>
          <w:rStyle w:val="Hyperlink"/>
        </w:rPr>
        <w:t>https://vetnet.gov.au/Pages/TrainingDocs.aspx?q=df441c6e-213d-43e3-874c-0b3f7036d851</w:t>
      </w:r>
      <w:r>
        <w:fldChar w:fldCharType="end"/>
      </w:r>
    </w:p>
    <w:p w:rsidR="00000000" w:rsidRPr="00B061C4" w:rsidP="007D5E8F">
      <w:pPr>
        <w:pStyle w:val="BodyText"/>
        <w:sectPr w:rsidSect="00B061C4">
          <w:headerReference w:type="default" r:id="rId10"/>
          <w:footerReference w:type="default" r:id="rId11"/>
          <w:pgSz w:w="11908" w:h="16833"/>
          <w:pgMar w:top="1702" w:right="1418" w:bottom="1702" w:left="1418" w:header="992" w:footer="992" w:gutter="0"/>
          <w:cols w:space="720"/>
          <w:noEndnote/>
          <w:docGrid w:linePitch="299"/>
        </w:sectPr>
      </w:pPr>
    </w:p>
    <w:p w:rsidR="00000000" w:rsidRPr="00B061C4" w:rsidP="00B061C4">
      <w:pPr>
        <w:pStyle w:val="SuperHeading"/>
      </w:pPr>
      <w:r w:rsidRPr="00B061C4">
        <w:t>Assessment Requirements for TLID3023 Use</w:t>
      </w:r>
      <w:r w:rsidRPr="00B061C4">
        <w:t xml:space="preserve"> specialised liquid bulk gas transfer equipment</w:t>
      </w:r>
    </w:p>
    <w:p w:rsidR="00000000" w:rsidRPr="00B061C4" w:rsidP="00B061C4">
      <w:pPr>
        <w:pStyle w:val="Heading1"/>
      </w:pPr>
      <w:bookmarkStart w:id="11" w:name="O_1196396"/>
      <w:bookmarkEnd w:id="11"/>
      <w:r w:rsidRPr="00B061C4">
        <w:t>Modification History</w:t>
      </w:r>
    </w:p>
    <w:tbl>
      <w:tblPr>
        <w:tblW w:w="9497" w:type="dxa"/>
        <w:tblLayout w:type="fixed"/>
        <w:tblCellMar>
          <w:left w:w="62" w:type="dxa"/>
          <w:right w:w="62" w:type="dxa"/>
        </w:tblCellMar>
        <w:tblLook w:val="0000"/>
      </w:tblPr>
      <w:tblGrid>
        <w:gridCol w:w="9497"/>
      </w:tblGrid>
      <w:tr w:rsidTr="00B0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Release 2.</w:t>
            </w:r>
            <w:r w:rsidRPr="00B061C4">
              <w:t xml:space="preserve"> This is the second release of this unit of competency in the TLI Transport and Logistics Training Package.  </w:t>
            </w:r>
          </w:p>
          <w:p w:rsidR="00000000" w:rsidRPr="00B061C4" w:rsidP="00B061C4">
            <w:pPr>
              <w:pStyle w:val="ListBullet2"/>
            </w:pPr>
            <w:r w:rsidRPr="00B061C4">
              <w:t>Minor changes to unit Application</w:t>
            </w:r>
          </w:p>
          <w:p w:rsidR="00000000" w:rsidP="00B061C4">
            <w:pPr>
              <w:pStyle w:val="ListBullet2"/>
              <w:rPr>
                <w:lang w:val="en-NZ"/>
              </w:rPr>
            </w:pPr>
            <w:r w:rsidRPr="00B061C4">
              <w:t>Minor changes to Assessment Conditions.</w:t>
            </w:r>
          </w:p>
        </w:tc>
      </w:tr>
      <w:tr w:rsidTr="00B0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rPr>
                <w:rStyle w:val="SpecialBold"/>
              </w:rPr>
              <w:t>Release 1.</w:t>
            </w:r>
            <w:r w:rsidRPr="00B061C4">
              <w:t xml:space="preserve"> This is the first release of this unit of competency in the TLI Transport and Logistics Training Package.</w:t>
            </w:r>
          </w:p>
        </w:tc>
      </w:tr>
    </w:tbl>
    <w:p w:rsidR="007D5E8F" w:rsidP="00B061C4">
      <w:pPr>
        <w:pStyle w:val="NoPaddingFontSize1"/>
      </w:pPr>
    </w:p>
    <w:p w:rsidR="007D5E8F" w:rsidP="00B061C4">
      <w:pPr>
        <w:pStyle w:val="NoPaddingFontSize1"/>
      </w:pPr>
    </w:p>
    <w:p w:rsidR="00000000" w:rsidRPr="00B061C4" w:rsidP="00B061C4">
      <w:pPr>
        <w:pStyle w:val="Heading1"/>
      </w:pPr>
      <w:bookmarkStart w:id="12" w:name="O_1196395"/>
      <w:bookmarkEnd w:id="12"/>
      <w:r w:rsidRPr="00B061C4">
        <w:t>Performance Evidence</w:t>
      </w:r>
    </w:p>
    <w:tbl>
      <w:tblPr>
        <w:tblW w:w="9497" w:type="dxa"/>
        <w:tblLayout w:type="fixed"/>
        <w:tblCellMar>
          <w:left w:w="62" w:type="dxa"/>
          <w:right w:w="62" w:type="dxa"/>
        </w:tblCellMar>
        <w:tblLook w:val="0000"/>
      </w:tblPr>
      <w:tblGrid>
        <w:gridCol w:w="9497"/>
      </w:tblGrid>
      <w:tr w:rsidTr="00B061C4">
        <w:tblPrEx>
          <w:tblW w:w="9497" w:type="dxa"/>
          <w:tblLayout w:type="fixed"/>
          <w:tblCellMar>
            <w:left w:w="62" w:type="dxa"/>
            <w:right w:w="62" w:type="dxa"/>
          </w:tblCellMar>
          <w:tblLook w:val="0000"/>
        </w:tblPrEx>
        <w:trPr>
          <w:trHeight w:val="739"/>
        </w:trPr>
        <w:tc>
          <w:tcPr>
            <w:tcW w:w="9497"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Evidence required to demonstrate competence in this uni</w:t>
            </w:r>
            <w:r w:rsidRPr="00B061C4">
              <w:t>t must be relevant to and satisfy all the requirements of the elements and performance criteria on at least one occasion and include:</w:t>
            </w:r>
          </w:p>
        </w:tc>
      </w:tr>
      <w:tr w:rsidTr="00B061C4">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B061C4" w:rsidP="00B061C4">
            <w:pPr>
              <w:pStyle w:val="ListBullet"/>
            </w:pPr>
            <w:r w:rsidRPr="00B061C4">
              <w:t xml:space="preserve">applying precautions and required actions to minimise, control or eliminate identified hazards </w:t>
            </w:r>
          </w:p>
          <w:p w:rsidR="00000000" w:rsidRPr="00B061C4" w:rsidP="00B061C4">
            <w:pPr>
              <w:pStyle w:val="ListBullet"/>
            </w:pPr>
            <w:r w:rsidRPr="00B061C4">
              <w:t>applying relevant legislation and workplace procedures</w:t>
            </w:r>
          </w:p>
          <w:p w:rsidR="00000000" w:rsidRPr="00B061C4" w:rsidP="00B061C4">
            <w:pPr>
              <w:pStyle w:val="ListBullet"/>
            </w:pPr>
            <w:r w:rsidRPr="00B061C4">
              <w:t xml:space="preserve">communicating effectively with others </w:t>
            </w:r>
          </w:p>
          <w:p w:rsidR="00000000" w:rsidRPr="00B061C4" w:rsidP="00B061C4">
            <w:pPr>
              <w:pStyle w:val="ListBullet"/>
            </w:pPr>
            <w:r w:rsidRPr="00B061C4">
              <w:t xml:space="preserve">implementing contingency plans </w:t>
            </w:r>
          </w:p>
          <w:p w:rsidR="00000000" w:rsidRPr="00B061C4" w:rsidP="00B061C4">
            <w:pPr>
              <w:pStyle w:val="ListBullet"/>
            </w:pPr>
            <w:r w:rsidRPr="00B061C4">
              <w:t>interpreting and following operational instructions and prioritising work</w:t>
            </w:r>
          </w:p>
          <w:p w:rsidR="00000000" w:rsidRPr="00B061C4" w:rsidP="00B061C4">
            <w:pPr>
              <w:pStyle w:val="ListBullet"/>
            </w:pPr>
            <w:r w:rsidRPr="00B061C4">
              <w:t>modifying activities depending on operational contingenc</w:t>
            </w:r>
            <w:r w:rsidRPr="00B061C4">
              <w:t>ies, risk situations and environments</w:t>
            </w:r>
          </w:p>
          <w:p w:rsidR="00000000" w:rsidRPr="00B061C4" w:rsidP="00B061C4">
            <w:pPr>
              <w:pStyle w:val="ListBullet"/>
            </w:pPr>
            <w:r w:rsidRPr="00B061C4">
              <w:t>monitoring performance of transfer equipment</w:t>
            </w:r>
          </w:p>
          <w:p w:rsidR="00000000" w:rsidRPr="00B061C4" w:rsidP="00B061C4">
            <w:pPr>
              <w:pStyle w:val="ListBullet"/>
            </w:pPr>
            <w:r w:rsidRPr="00B061C4">
              <w:t>operating and adapting to differences in transfer equipment in accordance with workplace procedures</w:t>
            </w:r>
          </w:p>
          <w:p w:rsidR="00000000" w:rsidRPr="00B061C4" w:rsidP="00B061C4">
            <w:pPr>
              <w:pStyle w:val="ListBullet"/>
            </w:pPr>
            <w:r w:rsidRPr="00B061C4">
              <w:t>reading and interpreting relevant instructions, workplace procedures, inf</w:t>
            </w:r>
            <w:r w:rsidRPr="00B061C4">
              <w:t xml:space="preserve">ormation and signs </w:t>
            </w:r>
          </w:p>
          <w:p w:rsidR="00000000" w:rsidRPr="00B061C4" w:rsidP="00B061C4">
            <w:pPr>
              <w:pStyle w:val="ListBullet"/>
            </w:pPr>
            <w:r w:rsidRPr="00B061C4">
              <w:t>reporting and/or rectifying identified problems, faults, or malfunctions promptly in accordance with regulatory requirements and workplace procedures</w:t>
            </w:r>
          </w:p>
          <w:p w:rsidR="00000000" w:rsidRPr="00B061C4" w:rsidP="00B061C4">
            <w:pPr>
              <w:pStyle w:val="ListBullet"/>
            </w:pPr>
            <w:r w:rsidRPr="00B061C4">
              <w:t>working systematically with required attention to detail without injury to self or oth</w:t>
            </w:r>
            <w:r w:rsidRPr="00B061C4">
              <w:t>ers, or damage to product or equipment.</w:t>
            </w:r>
          </w:p>
        </w:tc>
      </w:tr>
    </w:tbl>
    <w:p w:rsidR="007D5E8F" w:rsidP="00B061C4">
      <w:pPr>
        <w:pStyle w:val="NoPaddingFontSize1"/>
      </w:pPr>
    </w:p>
    <w:p w:rsidR="007D5E8F" w:rsidP="00B061C4">
      <w:pPr>
        <w:pStyle w:val="NoPaddingFontSize1"/>
      </w:pPr>
    </w:p>
    <w:p w:rsidR="00000000" w:rsidRPr="00B061C4" w:rsidP="00B061C4">
      <w:pPr>
        <w:pStyle w:val="Heading1"/>
      </w:pPr>
      <w:bookmarkStart w:id="13" w:name="O_1196394"/>
      <w:bookmarkEnd w:id="13"/>
      <w:r w:rsidRPr="00B061C4">
        <w:t>Knowledge Evidence</w:t>
      </w:r>
    </w:p>
    <w:tbl>
      <w:tblPr>
        <w:tblW w:w="9497" w:type="dxa"/>
        <w:tblLayout w:type="fixed"/>
        <w:tblCellMar>
          <w:left w:w="62" w:type="dxa"/>
          <w:right w:w="62" w:type="dxa"/>
        </w:tblCellMar>
        <w:tblLook w:val="0000"/>
      </w:tblPr>
      <w:tblGrid>
        <w:gridCol w:w="9497"/>
      </w:tblGrid>
      <w:tr w:rsidTr="00B061C4">
        <w:tblPrEx>
          <w:tblW w:w="9497" w:type="dxa"/>
          <w:tblLayout w:type="fixed"/>
          <w:tblCellMar>
            <w:left w:w="62" w:type="dxa"/>
            <w:right w:w="62" w:type="dxa"/>
          </w:tblCellMar>
          <w:tblLook w:val="0000"/>
        </w:tblPrEx>
        <w:trPr>
          <w:trHeight w:val="757"/>
        </w:trPr>
        <w:tc>
          <w:tcPr>
            <w:tcW w:w="9497" w:type="dxa"/>
            <w:tcBorders>
              <w:top w:val="nil"/>
              <w:left w:val="nil"/>
              <w:bottom w:val="nil"/>
              <w:right w:val="nil"/>
            </w:tcBorders>
            <w:tcMar>
              <w:top w:w="0" w:type="dxa"/>
              <w:left w:w="62" w:type="dxa"/>
              <w:bottom w:w="0" w:type="dxa"/>
              <w:right w:w="62" w:type="dxa"/>
            </w:tcMar>
          </w:tcPr>
          <w:p w:rsidR="00000000" w:rsidP="00B061C4">
            <w:pPr>
              <w:pStyle w:val="BodyText"/>
              <w:rPr>
                <w:lang w:val="en-NZ"/>
              </w:rPr>
            </w:pPr>
            <w:r w:rsidRPr="00B061C4">
              <w:t xml:space="preserve">Evidence required to demonstrate competence in this unit must be relevant to and satisfy all the requirements of the elements and performance criteria and </w:t>
            </w:r>
            <w:r w:rsidRPr="00B061C4">
              <w:t>include knowledge of:</w:t>
            </w:r>
          </w:p>
        </w:tc>
      </w:tr>
      <w:tr w:rsidTr="00B061C4">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B061C4" w:rsidP="00B061C4">
            <w:pPr>
              <w:pStyle w:val="ListBullet"/>
            </w:pPr>
            <w:r w:rsidRPr="00B061C4">
              <w:t>current Australian Dangerous Goods (ADG) Code and relevant state/territory mass and loading regulations as they apply to vehicles transporting liquid bulk gas</w:t>
            </w:r>
          </w:p>
          <w:p w:rsidR="00000000" w:rsidRPr="00B061C4" w:rsidP="00B061C4">
            <w:pPr>
              <w:pStyle w:val="ListBullet"/>
            </w:pPr>
            <w:r w:rsidRPr="00B061C4">
              <w:t>hazard management consistent with the principle of hierarchy of risk control with elimination, substitution, isolation and engineering control measures being selected before safe working practices and personal protective equipment (PPE)</w:t>
            </w:r>
          </w:p>
          <w:p w:rsidR="00000000" w:rsidRPr="00B061C4" w:rsidP="00B061C4">
            <w:pPr>
              <w:pStyle w:val="ListBullet"/>
            </w:pPr>
            <w:r w:rsidRPr="00B061C4">
              <w:t>housekeeping standa</w:t>
            </w:r>
            <w:r w:rsidRPr="00B061C4">
              <w:t xml:space="preserve">rds and procedures </w:t>
            </w:r>
          </w:p>
          <w:p w:rsidR="00000000" w:rsidRPr="00B061C4" w:rsidP="00B061C4">
            <w:pPr>
              <w:pStyle w:val="ListBullet"/>
            </w:pPr>
            <w:r w:rsidRPr="00B061C4">
              <w:t>methods of securing a vehicle following transferring liquid bulk gas</w:t>
            </w:r>
          </w:p>
          <w:p w:rsidR="00000000" w:rsidRPr="00B061C4" w:rsidP="00B061C4">
            <w:pPr>
              <w:pStyle w:val="ListBullet"/>
            </w:pPr>
            <w:r w:rsidRPr="00B061C4">
              <w:t>relevant permit and licence requirements</w:t>
            </w:r>
          </w:p>
          <w:p w:rsidR="00000000" w:rsidRPr="00B061C4" w:rsidP="00B061C4">
            <w:pPr>
              <w:pStyle w:val="ListBullet"/>
            </w:pPr>
            <w:r w:rsidRPr="00B061C4">
              <w:t>risks when transferring liquid bulk gas and related precautions to control the risk</w:t>
            </w:r>
          </w:p>
          <w:p w:rsidR="00000000" w:rsidRPr="00B061C4" w:rsidP="00B061C4">
            <w:pPr>
              <w:pStyle w:val="ListBullet"/>
            </w:pPr>
            <w:r w:rsidRPr="00B061C4">
              <w:t xml:space="preserve">work health and safety (WHS)/occupational </w:t>
            </w:r>
            <w:r w:rsidRPr="00B061C4">
              <w:t>health and safety (OHS) procedures and guidelines for using specialised bulk transfer equipment</w:t>
            </w:r>
          </w:p>
          <w:p w:rsidR="00000000" w:rsidRPr="00B061C4" w:rsidP="00B061C4">
            <w:pPr>
              <w:pStyle w:val="ListBullet"/>
            </w:pPr>
            <w:r w:rsidRPr="00B061C4">
              <w:t>workplace procedures and policies for efficiently using specialised equipment to transfer liquid bulk gas.</w:t>
            </w:r>
          </w:p>
        </w:tc>
      </w:tr>
    </w:tbl>
    <w:p w:rsidR="007D5E8F" w:rsidP="00B061C4">
      <w:pPr>
        <w:pStyle w:val="NoPaddingFontSize1"/>
      </w:pPr>
    </w:p>
    <w:p w:rsidR="007D5E8F" w:rsidP="00B061C4">
      <w:pPr>
        <w:pStyle w:val="NoPaddingFontSize1"/>
      </w:pPr>
    </w:p>
    <w:p w:rsidR="00000000" w:rsidRPr="00B061C4" w:rsidP="00B061C4">
      <w:pPr>
        <w:pStyle w:val="Heading1"/>
      </w:pPr>
      <w:bookmarkStart w:id="14" w:name="O_1196393"/>
      <w:bookmarkEnd w:id="14"/>
      <w:r w:rsidRPr="00B061C4">
        <w:t>Assessment Conditions</w:t>
      </w:r>
    </w:p>
    <w:tbl>
      <w:tblPr>
        <w:tblW w:w="9497" w:type="dxa"/>
        <w:tblLayout w:type="fixed"/>
        <w:tblCellMar>
          <w:left w:w="62" w:type="dxa"/>
          <w:right w:w="62" w:type="dxa"/>
        </w:tblCellMar>
        <w:tblLook w:val="0000"/>
      </w:tblPr>
      <w:tblGrid>
        <w:gridCol w:w="9497"/>
      </w:tblGrid>
      <w:tr w:rsidTr="00B0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1C4" w:rsidP="00B061C4">
            <w:pPr>
              <w:pStyle w:val="BodyText"/>
            </w:pPr>
            <w:r w:rsidRPr="00B061C4">
              <w:t>Assessors</w:t>
            </w:r>
            <w:r w:rsidRPr="00B061C4">
              <w:t xml:space="preserve"> must hold credentials specified within the Standards for Registered Training Organisations current at the time of assessment. </w:t>
            </w:r>
          </w:p>
          <w:p w:rsidR="00000000" w:rsidRPr="00B061C4" w:rsidP="00B061C4">
            <w:pPr>
              <w:pStyle w:val="BodyText"/>
            </w:pPr>
            <w:r w:rsidRPr="00B061C4">
              <w:t>Assessment must satisfy the Principles of Assessment and Rules of Evidence and all regu</w:t>
            </w:r>
            <w:r w:rsidRPr="00B061C4">
              <w:t>latory requirements included within the Standards for Registered Training Organisations current at the time of assessment.</w:t>
            </w:r>
          </w:p>
          <w:p w:rsidR="00000000" w:rsidRPr="00B061C4" w:rsidP="00B061C4">
            <w:pPr>
              <w:pStyle w:val="BodyText"/>
            </w:pPr>
            <w:r w:rsidRPr="00B061C4">
              <w:t>Assessment must occur in workplace operational situations where it is appropriate to do so; where this is not appropriate, assessment</w:t>
            </w:r>
            <w:r w:rsidRPr="00B061C4">
              <w:t xml:space="preserve"> must occur in simulated workplace operational situations that replicate workplace conditions.</w:t>
            </w:r>
          </w:p>
          <w:p w:rsidR="00000000" w:rsidRPr="00B061C4" w:rsidP="00B061C4">
            <w:pPr>
              <w:pStyle w:val="BodyText"/>
            </w:pPr>
            <w:r w:rsidRPr="00B061C4">
              <w:t>Assessment processes and techniques must be appropriate to the language, literacy and numeracy requirements of the work being performed and the needs of the cand</w:t>
            </w:r>
            <w:r w:rsidRPr="00B061C4">
              <w:t>idate.</w:t>
            </w:r>
          </w:p>
          <w:p w:rsidR="00000000" w:rsidRPr="00B061C4" w:rsidP="00B061C4">
            <w:pPr>
              <w:pStyle w:val="BodyText"/>
            </w:pPr>
            <w:r w:rsidRPr="00B061C4">
              <w:t>Resources for assessment must include access to:</w:t>
            </w:r>
          </w:p>
          <w:p w:rsidR="00000000" w:rsidRPr="00B061C4" w:rsidP="00B061C4">
            <w:pPr>
              <w:pStyle w:val="ListBullet"/>
            </w:pPr>
            <w:r w:rsidRPr="00B061C4">
              <w:t>a range of relevant exercises, case studies and/or simulations</w:t>
            </w:r>
          </w:p>
          <w:p w:rsidR="00000000" w:rsidRPr="00B061C4" w:rsidP="00B061C4">
            <w:pPr>
              <w:pStyle w:val="ListBullet"/>
            </w:pPr>
            <w:r w:rsidRPr="00B061C4">
              <w:t>relevant and appropriate materials, tools, equipment and PPE currently used in industry</w:t>
            </w:r>
          </w:p>
          <w:p w:rsidR="00000000" w:rsidRPr="00B061C4" w:rsidP="00B061C4">
            <w:pPr>
              <w:pStyle w:val="ListBullet"/>
            </w:pPr>
            <w:r w:rsidRPr="00B061C4">
              <w:t>applicable documentation, including legislation,</w:t>
            </w:r>
            <w:r w:rsidRPr="00B061C4">
              <w:t xml:space="preserve"> regulations, current ADG Code, codes of practice, workplace procedures and operation manuals.</w:t>
            </w:r>
          </w:p>
        </w:tc>
      </w:tr>
    </w:tbl>
    <w:p w:rsidR="007D5E8F" w:rsidP="00B061C4">
      <w:pPr>
        <w:pStyle w:val="NoPaddingFontSize1"/>
      </w:pPr>
    </w:p>
    <w:p w:rsidR="007D5E8F" w:rsidP="00B061C4">
      <w:pPr>
        <w:pStyle w:val="NoPaddingFontSize1"/>
      </w:pPr>
    </w:p>
    <w:p w:rsidR="00000000" w:rsidRPr="00B061C4" w:rsidP="00B061C4">
      <w:pPr>
        <w:pStyle w:val="Heading1"/>
      </w:pPr>
      <w:bookmarkStart w:id="15" w:name="O_1196408"/>
      <w:bookmarkEnd w:id="15"/>
      <w:r w:rsidRPr="00B061C4">
        <w:t>Links</w:t>
      </w:r>
    </w:p>
    <w:p w:rsidR="00000000" w:rsidRPr="00B061C4" w:rsidP="007D5E8F">
      <w:pPr>
        <w:pStyle w:val="BodyText"/>
      </w:pPr>
      <w:r w:rsidRPr="00B061C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71B80">
        <w:rPr>
          <w:rStyle w:val="Hyperlink"/>
        </w:rPr>
        <w:t>https://vetnet.gov.au/Pages/TrainingDocs.aspx?q=df441c6e-213d-43e3-874c-0b3f7036d851</w:t>
      </w:r>
      <w:r>
        <w:fldChar w:fldCharType="end"/>
      </w:r>
    </w:p>
    <w:p w:rsidR="00000000" w:rsidRPr="00B061C4" w:rsidP="00B061C4"/>
    <w:sectPr w:rsidSect="00B061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C4" w:rsidRPr="007D5E8F" w:rsidP="007D5E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8F" w:rsidP="00B061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5E8F" w:rsidP="00B061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D5E8F" w:rsidP="00B061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C4" w:rsidP="00B061C4">
    <w:pPr>
      <w:pStyle w:val="Footer"/>
      <w:framePr w:wrap="around"/>
    </w:pPr>
    <w:r>
      <w:fldChar w:fldCharType="begin"/>
    </w:r>
    <w:r>
      <w:instrText xml:space="preserve"> DOCPROPERTY  Subject  \* MERGEFORMAT </w:instrText>
    </w:r>
    <w:r>
      <w:fldChar w:fldCharType="separate"/>
    </w:r>
    <w:r w:rsidR="007D5E8F">
      <w:t>Approved</w:t>
    </w:r>
    <w:r w:rsidR="007D5E8F">
      <w:fldChar w:fldCharType="end"/>
    </w:r>
    <w:r>
      <w:tab/>
      <w:t xml:space="preserve">Page </w:t>
    </w:r>
    <w:r>
      <w:fldChar w:fldCharType="begin"/>
    </w:r>
    <w:r>
      <w:instrText xml:space="preserve"> PAGE  \* Arabic  \* MERGEFORMAT </w:instrText>
    </w:r>
    <w:r>
      <w:fldChar w:fldCharType="separate"/>
    </w:r>
    <w:r w:rsidR="007D5E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5E8F">
      <w:rPr>
        <w:noProof/>
      </w:rPr>
      <w:t>5</w:t>
    </w:r>
    <w:r>
      <w:rPr>
        <w:noProof/>
      </w:rPr>
      <w:fldChar w:fldCharType="end"/>
    </w:r>
  </w:p>
  <w:p w:rsidR="00B061C4" w:rsidP="00B061C4">
    <w:pPr>
      <w:pStyle w:val="Footer"/>
      <w:framePr w:wrap="around"/>
    </w:pPr>
    <w:r>
      <w:t xml:space="preserve">© Commonwealth of Australia, </w:t>
    </w:r>
    <w:r>
      <w:fldChar w:fldCharType="begin"/>
    </w:r>
    <w:r>
      <w:instrText xml:space="preserve"> DATE  \@ "yyyy"  \* MERGEFORMAT </w:instrText>
    </w:r>
    <w:r>
      <w:fldChar w:fldCharType="separate"/>
    </w:r>
    <w:r w:rsidR="007D5E8F">
      <w:rPr>
        <w:noProof/>
      </w:rPr>
      <w:t>2025</w:t>
    </w:r>
    <w:r>
      <w:fldChar w:fldCharType="end"/>
    </w:r>
    <w:r>
      <w:tab/>
    </w:r>
    <w:r>
      <w:fldChar w:fldCharType="begin"/>
    </w:r>
    <w:r>
      <w:instrText xml:space="preserve"> DOCPROPERTY  Author  \* MERGEFORMAT </w:instrText>
    </w:r>
    <w:r>
      <w:fldChar w:fldCharType="separate"/>
    </w:r>
    <w:r w:rsidR="007D5E8F">
      <w:t>Industry Skills Australia</w:t>
    </w:r>
    <w:r w:rsidR="007D5E8F">
      <w:fldChar w:fldCharType="end"/>
    </w:r>
  </w:p>
  <w:p w:rsidR="00B061C4" w:rsidP="00B061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1C4" w:rsidRPr="007D5E8F" w:rsidP="007D5E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8F" w:rsidRPr="002D2AF8" w:rsidP="00B061C4">
    <w:pPr>
      <w:pStyle w:val="Header"/>
      <w:framePr w:wrap="around"/>
    </w:pPr>
    <w:r>
      <w:fldChar w:fldCharType="begin"/>
    </w:r>
    <w:r>
      <w:instrText xml:space="preserve"> TITLE   \* MERGEFORMAT </w:instrText>
    </w:r>
    <w:r>
      <w:fldChar w:fldCharType="separate"/>
    </w:r>
    <w:r>
      <w:t>TLID3023 Use specialised liquid bulk gas transfer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5E8F" w:rsidP="00B061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C4" w:rsidRPr="002D2AF8" w:rsidP="00B061C4">
    <w:pPr>
      <w:pStyle w:val="Header"/>
      <w:framePr w:wrap="around"/>
    </w:pPr>
    <w:r>
      <w:fldChar w:fldCharType="begin"/>
    </w:r>
    <w:r>
      <w:instrText xml:space="preserve"> TITLE   \* MERGEFORMAT </w:instrText>
    </w:r>
    <w:r>
      <w:fldChar w:fldCharType="separate"/>
    </w:r>
    <w:r w:rsidR="007D5E8F">
      <w:t>TLID3023 Use specialised liquid bulk gas transfer equipment</w:t>
    </w:r>
    <w:r w:rsidR="007D5E8F">
      <w:fldChar w:fldCharType="end"/>
    </w:r>
    <w:r>
      <w:tab/>
      <w:t xml:space="preserve">Date this document was generated: </w:t>
    </w:r>
    <w:r>
      <w:fldChar w:fldCharType="begin"/>
    </w:r>
    <w:r>
      <w:instrText xml:space="preserve"> CREATEDATE  \@ "d MMMM yyyy"  \* MERGEFORMAT </w:instrText>
    </w:r>
    <w:r>
      <w:fldChar w:fldCharType="separate"/>
    </w:r>
    <w:r w:rsidR="007D5E8F">
      <w:rPr>
        <w:noProof/>
      </w:rPr>
      <w:t>2 March 2025</w:t>
    </w:r>
    <w:r>
      <w:fldChar w:fldCharType="end"/>
    </w:r>
  </w:p>
  <w:p w:rsidR="00B061C4" w:rsidP="00B061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DAC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5C1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6F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1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1C4"/>
    <w:pPr>
      <w:spacing w:before="360" w:after="60"/>
      <w:outlineLvl w:val="0"/>
    </w:pPr>
    <w:rPr>
      <w:sz w:val="32"/>
    </w:rPr>
  </w:style>
  <w:style w:type="paragraph" w:styleId="Heading2">
    <w:name w:val="heading 2"/>
    <w:basedOn w:val="HeadingBase"/>
    <w:next w:val="BodyText"/>
    <w:link w:val="Heading2Char"/>
    <w:qFormat/>
    <w:rsid w:val="00B061C4"/>
    <w:pPr>
      <w:keepLines/>
      <w:spacing w:before="240" w:after="120"/>
      <w:outlineLvl w:val="1"/>
    </w:pPr>
    <w:rPr>
      <w:sz w:val="28"/>
      <w:szCs w:val="40"/>
    </w:rPr>
  </w:style>
  <w:style w:type="paragraph" w:styleId="Heading3">
    <w:name w:val="heading 3"/>
    <w:basedOn w:val="HeadingBase"/>
    <w:next w:val="BodyText"/>
    <w:link w:val="Heading3Char"/>
    <w:qFormat/>
    <w:rsid w:val="00B061C4"/>
    <w:pPr>
      <w:spacing w:before="180" w:after="120"/>
      <w:outlineLvl w:val="2"/>
    </w:pPr>
    <w:rPr>
      <w:spacing w:val="-10"/>
      <w:kern w:val="32"/>
    </w:rPr>
  </w:style>
  <w:style w:type="paragraph" w:styleId="Heading4">
    <w:name w:val="heading 4"/>
    <w:basedOn w:val="HeadingBase"/>
    <w:next w:val="BodyText"/>
    <w:link w:val="Heading4Char"/>
    <w:qFormat/>
    <w:rsid w:val="00B061C4"/>
    <w:pPr>
      <w:spacing w:before="160" w:after="120"/>
      <w:outlineLvl w:val="3"/>
    </w:pPr>
    <w:rPr>
      <w:sz w:val="22"/>
    </w:rPr>
  </w:style>
  <w:style w:type="paragraph" w:styleId="Heading5">
    <w:name w:val="heading 5"/>
    <w:basedOn w:val="HeadingBase"/>
    <w:next w:val="Normal"/>
    <w:link w:val="Heading5Char"/>
    <w:qFormat/>
    <w:rsid w:val="00B061C4"/>
    <w:pPr>
      <w:spacing w:before="80"/>
      <w:outlineLvl w:val="4"/>
    </w:pPr>
    <w:rPr>
      <w:color w:val="918585"/>
      <w:sz w:val="20"/>
    </w:rPr>
  </w:style>
  <w:style w:type="paragraph" w:styleId="Heading6">
    <w:name w:val="heading 6"/>
    <w:basedOn w:val="HeadingBase"/>
    <w:next w:val="Normal"/>
    <w:link w:val="Heading6Char"/>
    <w:qFormat/>
    <w:rsid w:val="00B061C4"/>
    <w:pPr>
      <w:spacing w:before="60"/>
      <w:outlineLvl w:val="5"/>
    </w:pPr>
    <w:rPr>
      <w:color w:val="918585"/>
      <w:sz w:val="20"/>
    </w:rPr>
  </w:style>
  <w:style w:type="paragraph" w:styleId="Heading7">
    <w:name w:val="heading 7"/>
    <w:basedOn w:val="Normal"/>
    <w:next w:val="Normal"/>
    <w:link w:val="Heading7Char"/>
    <w:qFormat/>
    <w:rsid w:val="00B061C4"/>
    <w:pPr>
      <w:ind w:left="720"/>
      <w:outlineLvl w:val="6"/>
    </w:pPr>
    <w:rPr>
      <w:i/>
    </w:rPr>
  </w:style>
  <w:style w:type="paragraph" w:styleId="Heading8">
    <w:name w:val="heading 8"/>
    <w:basedOn w:val="Normal"/>
    <w:next w:val="Normal"/>
    <w:link w:val="Heading8Char"/>
    <w:qFormat/>
    <w:rsid w:val="00B061C4"/>
    <w:pPr>
      <w:ind w:left="720"/>
      <w:outlineLvl w:val="7"/>
    </w:pPr>
    <w:rPr>
      <w:i/>
    </w:rPr>
  </w:style>
  <w:style w:type="paragraph" w:styleId="Heading9">
    <w:name w:val="heading 9"/>
    <w:basedOn w:val="Normal"/>
    <w:next w:val="Normal"/>
    <w:link w:val="Heading9Char"/>
    <w:qFormat/>
    <w:rsid w:val="00B061C4"/>
    <w:pPr>
      <w:ind w:left="720"/>
      <w:outlineLvl w:val="8"/>
    </w:pPr>
    <w:rPr>
      <w:i/>
    </w:rPr>
  </w:style>
  <w:style w:type="character" w:default="1" w:styleId="DefaultParagraphFont">
    <w:name w:val="Default Paragraph Font"/>
    <w:uiPriority w:val="1"/>
    <w:unhideWhenUsed/>
    <w:rsid w:val="00B061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1C4"/>
  </w:style>
  <w:style w:type="character" w:customStyle="1" w:styleId="Heading1Char">
    <w:name w:val="Heading 1 Char"/>
    <w:basedOn w:val="DefaultParagraphFont"/>
    <w:link w:val="Heading1"/>
    <w:rsid w:val="00B061C4"/>
    <w:rPr>
      <w:rFonts w:ascii="Times New Roman" w:eastAsia="Times New Roman" w:hAnsi="Times New Roman" w:cs="Times New Roman"/>
      <w:b/>
      <w:sz w:val="32"/>
      <w:szCs w:val="20"/>
      <w:lang w:eastAsia="en-US"/>
    </w:rPr>
  </w:style>
  <w:style w:type="paragraph" w:styleId="BodyText">
    <w:name w:val="Body Text"/>
    <w:basedOn w:val="Normal"/>
    <w:link w:val="BodyTextChar"/>
    <w:rsid w:val="00B061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1C4"/>
    <w:rPr>
      <w:rFonts w:ascii="Times New Roman" w:eastAsia="Times New Roman" w:hAnsi="Times New Roman" w:cs="Times New Roman"/>
      <w:sz w:val="24"/>
      <w:lang w:eastAsia="en-US"/>
    </w:rPr>
  </w:style>
  <w:style w:type="paragraph" w:styleId="ListBullet">
    <w:name w:val="List Bullet"/>
    <w:basedOn w:val="List"/>
    <w:rsid w:val="00B061C4"/>
    <w:pPr>
      <w:numPr>
        <w:numId w:val="12"/>
      </w:numPr>
      <w:tabs>
        <w:tab w:val="clear" w:pos="340"/>
      </w:tabs>
      <w:spacing w:before="40" w:after="40"/>
    </w:pPr>
  </w:style>
  <w:style w:type="character" w:customStyle="1" w:styleId="SpecialBold">
    <w:name w:val="Special Bold"/>
    <w:basedOn w:val="DefaultParagraphFont"/>
    <w:rsid w:val="00B061C4"/>
    <w:rPr>
      <w:b/>
      <w:spacing w:val="0"/>
    </w:rPr>
  </w:style>
  <w:style w:type="paragraph" w:styleId="ListBullet2">
    <w:name w:val="List Bullet 2"/>
    <w:basedOn w:val="List2"/>
    <w:rsid w:val="00B061C4"/>
    <w:pPr>
      <w:numPr>
        <w:numId w:val="13"/>
      </w:numPr>
      <w:tabs>
        <w:tab w:val="clear" w:pos="680"/>
      </w:tabs>
    </w:pPr>
  </w:style>
  <w:style w:type="paragraph" w:customStyle="1" w:styleId="SuperHeading">
    <w:name w:val="SuperHeading"/>
    <w:basedOn w:val="Normal"/>
    <w:rsid w:val="00B061C4"/>
    <w:pPr>
      <w:spacing w:before="240" w:after="120"/>
      <w:outlineLvl w:val="0"/>
    </w:pPr>
    <w:rPr>
      <w:rFonts w:ascii="Times New Roman" w:hAnsi="Times New Roman"/>
      <w:b/>
      <w:sz w:val="32"/>
    </w:rPr>
  </w:style>
  <w:style w:type="paragraph" w:customStyle="1" w:styleId="AllowPageBreak">
    <w:name w:val="AllowPageBreak"/>
    <w:rsid w:val="00B061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61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1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1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1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1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1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1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1C4"/>
    <w:rPr>
      <w:rFonts w:ascii="Courier New" w:eastAsia="Times New Roman" w:hAnsi="Courier New" w:cs="Times New Roman"/>
      <w:i/>
      <w:szCs w:val="20"/>
      <w:lang w:eastAsia="en-US"/>
    </w:rPr>
  </w:style>
  <w:style w:type="paragraph" w:customStyle="1" w:styleId="HeadingBase">
    <w:name w:val="Heading Base"/>
    <w:rsid w:val="00B061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1C4"/>
    <w:pPr>
      <w:tabs>
        <w:tab w:val="right" w:leader="dot" w:pos="9072"/>
      </w:tabs>
      <w:ind w:left="567"/>
    </w:pPr>
    <w:rPr>
      <w:szCs w:val="22"/>
    </w:rPr>
  </w:style>
  <w:style w:type="paragraph" w:customStyle="1" w:styleId="TOCBase">
    <w:name w:val="TOC Base"/>
    <w:rsid w:val="00B061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1C4"/>
    <w:pPr>
      <w:tabs>
        <w:tab w:val="right" w:leader="dot" w:pos="9072"/>
      </w:tabs>
      <w:spacing w:before="40" w:after="40"/>
      <w:ind w:left="284"/>
    </w:pPr>
    <w:rPr>
      <w:rFonts w:ascii="Times New Roman" w:hAnsi="Times New Roman"/>
    </w:rPr>
  </w:style>
  <w:style w:type="paragraph" w:styleId="TOC1">
    <w:name w:val="toc 1"/>
    <w:basedOn w:val="TOCBase"/>
    <w:next w:val="Normal"/>
    <w:rsid w:val="00B061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1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1C4"/>
    <w:rPr>
      <w:rFonts w:ascii="Times New Roman" w:eastAsia="Times New Roman" w:hAnsi="Times New Roman" w:cs="Times New Roman"/>
      <w:sz w:val="16"/>
      <w:lang w:eastAsia="en-US"/>
    </w:rPr>
  </w:style>
  <w:style w:type="paragraph" w:styleId="Title">
    <w:name w:val="Title"/>
    <w:basedOn w:val="HeadingBase"/>
    <w:link w:val="TitleChar"/>
    <w:qFormat/>
    <w:rsid w:val="00B061C4"/>
    <w:pPr>
      <w:spacing w:before="5040"/>
      <w:jc w:val="center"/>
    </w:pPr>
    <w:rPr>
      <w:sz w:val="48"/>
      <w:szCs w:val="72"/>
      <w:lang w:val="en-US"/>
    </w:rPr>
  </w:style>
  <w:style w:type="character" w:customStyle="1" w:styleId="TitleChar">
    <w:name w:val="Title Char"/>
    <w:basedOn w:val="DefaultParagraphFont"/>
    <w:link w:val="Title"/>
    <w:rsid w:val="00B061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1C4"/>
    <w:pPr>
      <w:tabs>
        <w:tab w:val="left" w:pos="3600"/>
        <w:tab w:val="left" w:pos="3958"/>
      </w:tabs>
    </w:pPr>
  </w:style>
  <w:style w:type="paragraph" w:styleId="List">
    <w:name w:val="List"/>
    <w:basedOn w:val="BodyText"/>
    <w:next w:val="BodyText"/>
    <w:rsid w:val="00B061C4"/>
    <w:pPr>
      <w:tabs>
        <w:tab w:val="left" w:pos="340"/>
      </w:tabs>
      <w:spacing w:before="60" w:after="60"/>
      <w:ind w:left="340" w:hanging="340"/>
    </w:pPr>
  </w:style>
  <w:style w:type="paragraph" w:customStyle="1" w:styleId="Note">
    <w:name w:val="Note"/>
    <w:basedOn w:val="BodyText"/>
    <w:rsid w:val="00B061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1C4"/>
    <w:pPr>
      <w:framePr w:wrap="auto" w:hAnchor="text" w:y="6049"/>
    </w:pPr>
    <w:rPr>
      <w:color w:val="000000"/>
      <w:sz w:val="40"/>
    </w:rPr>
  </w:style>
  <w:style w:type="paragraph" w:customStyle="1" w:styleId="TOCTitle">
    <w:name w:val="TOCTitle"/>
    <w:basedOn w:val="Heading1"/>
    <w:rsid w:val="00B061C4"/>
    <w:pPr>
      <w:spacing w:after="240"/>
      <w:jc w:val="center"/>
      <w:outlineLvl w:val="9"/>
    </w:pPr>
    <w:rPr>
      <w:caps/>
    </w:rPr>
  </w:style>
  <w:style w:type="paragraph" w:customStyle="1" w:styleId="Version">
    <w:name w:val="Version"/>
    <w:rsid w:val="00B061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1C4"/>
    <w:pPr>
      <w:keepNext w:val="0"/>
      <w:tabs>
        <w:tab w:val="right" w:pos="4176"/>
      </w:tabs>
      <w:ind w:left="198" w:hanging="198"/>
    </w:pPr>
    <w:rPr>
      <w:rFonts w:ascii="Garamond" w:hAnsi="Garamond"/>
    </w:rPr>
  </w:style>
  <w:style w:type="paragraph" w:styleId="IndexHeading">
    <w:name w:val="index heading"/>
    <w:basedOn w:val="Normal"/>
    <w:next w:val="Index1"/>
    <w:semiHidden/>
    <w:rsid w:val="00B061C4"/>
    <w:pPr>
      <w:spacing w:before="120" w:after="120"/>
    </w:pPr>
    <w:rPr>
      <w:rFonts w:ascii="Arial" w:hAnsi="Arial"/>
      <w:b/>
      <w:color w:val="918585"/>
      <w:sz w:val="24"/>
    </w:rPr>
  </w:style>
  <w:style w:type="paragraph" w:styleId="Header">
    <w:name w:val="header"/>
    <w:basedOn w:val="Normal"/>
    <w:link w:val="HeaderChar"/>
    <w:rsid w:val="00B061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1C4"/>
    <w:rPr>
      <w:rFonts w:ascii="Times New Roman" w:eastAsia="Times New Roman" w:hAnsi="Times New Roman" w:cs="Times New Roman"/>
      <w:sz w:val="16"/>
      <w:szCs w:val="20"/>
      <w:lang w:val="en-GB" w:eastAsia="en-US"/>
    </w:rPr>
  </w:style>
  <w:style w:type="paragraph" w:customStyle="1" w:styleId="Chapter">
    <w:name w:val="Chapter"/>
    <w:basedOn w:val="Normal"/>
    <w:rsid w:val="00B061C4"/>
    <w:pPr>
      <w:spacing w:before="240"/>
    </w:pPr>
    <w:rPr>
      <w:rFonts w:ascii="Times New Roman" w:hAnsi="Times New Roman"/>
      <w:smallCaps/>
      <w:spacing w:val="80"/>
      <w:sz w:val="28"/>
    </w:rPr>
  </w:style>
  <w:style w:type="paragraph" w:customStyle="1" w:styleId="InChapter">
    <w:name w:val="InChapter"/>
    <w:basedOn w:val="Heading3"/>
    <w:rsid w:val="00B061C4"/>
    <w:pPr>
      <w:spacing w:after="240"/>
      <w:outlineLvl w:val="9"/>
    </w:pPr>
    <w:rPr>
      <w:noProof/>
    </w:rPr>
  </w:style>
  <w:style w:type="paragraph" w:styleId="Index2">
    <w:name w:val="index 2"/>
    <w:basedOn w:val="Normal"/>
    <w:next w:val="Normal"/>
    <w:semiHidden/>
    <w:rsid w:val="00B061C4"/>
    <w:pPr>
      <w:tabs>
        <w:tab w:val="right" w:pos="4176"/>
      </w:tabs>
      <w:ind w:left="568" w:hanging="284"/>
    </w:pPr>
    <w:rPr>
      <w:rFonts w:ascii="Garamond" w:hAnsi="Garamond"/>
    </w:rPr>
  </w:style>
  <w:style w:type="paragraph" w:customStyle="1" w:styleId="Byline">
    <w:name w:val="Byline"/>
    <w:rsid w:val="00B061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1C4"/>
    <w:pPr>
      <w:tabs>
        <w:tab w:val="clear" w:pos="3600"/>
        <w:tab w:val="clear" w:pos="3958"/>
      </w:tabs>
      <w:jc w:val="right"/>
    </w:pPr>
  </w:style>
  <w:style w:type="character" w:styleId="Emphasis">
    <w:name w:val="Emphasis"/>
    <w:basedOn w:val="DefaultParagraphFont"/>
    <w:qFormat/>
    <w:rsid w:val="00B061C4"/>
    <w:rPr>
      <w:i/>
    </w:rPr>
  </w:style>
  <w:style w:type="paragraph" w:styleId="Caption">
    <w:name w:val="caption"/>
    <w:basedOn w:val="BodyText"/>
    <w:next w:val="Normal"/>
    <w:qFormat/>
    <w:rsid w:val="00B061C4"/>
    <w:pPr>
      <w:framePr w:w="2268" w:hSpace="181" w:vSpace="181" w:wrap="around" w:vAnchor="text" w:hAnchor="page" w:x="1135" w:y="285" w:anchorLock="1"/>
    </w:pPr>
    <w:rPr>
      <w:i/>
    </w:rPr>
  </w:style>
  <w:style w:type="paragraph" w:customStyle="1" w:styleId="MiniTOCTitle">
    <w:name w:val="MiniTOCTitle"/>
    <w:basedOn w:val="Heading4"/>
    <w:rsid w:val="00B061C4"/>
    <w:pPr>
      <w:spacing w:before="240"/>
      <w:outlineLvl w:val="9"/>
    </w:pPr>
    <w:rPr>
      <w:noProof/>
      <w:sz w:val="24"/>
    </w:rPr>
  </w:style>
  <w:style w:type="paragraph" w:customStyle="1" w:styleId="MiniTOCItem">
    <w:name w:val="MiniTOCItem"/>
    <w:basedOn w:val="ListBullet"/>
    <w:rsid w:val="00B061C4"/>
    <w:pPr>
      <w:numPr>
        <w:numId w:val="0"/>
      </w:numPr>
      <w:tabs>
        <w:tab w:val="right" w:leader="dot" w:pos="6521"/>
      </w:tabs>
      <w:spacing w:before="0" w:after="0"/>
    </w:pPr>
  </w:style>
  <w:style w:type="paragraph" w:customStyle="1" w:styleId="TOFTitle">
    <w:name w:val="TOFTitle"/>
    <w:basedOn w:val="TOCTitle"/>
    <w:rsid w:val="00B061C4"/>
  </w:style>
  <w:style w:type="paragraph" w:styleId="TableofFigures">
    <w:name w:val="table of figures"/>
    <w:basedOn w:val="Normal"/>
    <w:next w:val="Normal"/>
    <w:semiHidden/>
    <w:rsid w:val="00B061C4"/>
    <w:pPr>
      <w:tabs>
        <w:tab w:val="right" w:leader="dot" w:pos="9072"/>
      </w:tabs>
      <w:ind w:left="970" w:hanging="403"/>
    </w:pPr>
    <w:rPr>
      <w:rFonts w:ascii="Times New Roman" w:hAnsi="Times New Roman"/>
      <w:b/>
    </w:rPr>
  </w:style>
  <w:style w:type="paragraph" w:styleId="ListNumber">
    <w:name w:val="List Number"/>
    <w:basedOn w:val="List"/>
    <w:rsid w:val="00B061C4"/>
    <w:pPr>
      <w:numPr>
        <w:numId w:val="15"/>
      </w:numPr>
      <w:tabs>
        <w:tab w:val="clear" w:pos="340"/>
      </w:tabs>
    </w:pPr>
  </w:style>
  <w:style w:type="character" w:customStyle="1" w:styleId="WingdingSymbols">
    <w:name w:val="Wingding Symbols"/>
    <w:rsid w:val="00B061C4"/>
    <w:rPr>
      <w:rFonts w:ascii="Wingdings" w:hAnsi="Wingdings"/>
    </w:rPr>
  </w:style>
  <w:style w:type="paragraph" w:customStyle="1" w:styleId="TableHeading">
    <w:name w:val="Table Heading"/>
    <w:basedOn w:val="HeadingBase"/>
    <w:rsid w:val="00B061C4"/>
    <w:pPr>
      <w:keepLines/>
      <w:pBdr>
        <w:bottom w:val="single" w:sz="6" w:space="1" w:color="918585"/>
      </w:pBdr>
      <w:spacing w:before="240"/>
    </w:pPr>
  </w:style>
  <w:style w:type="character" w:customStyle="1" w:styleId="HotSpot">
    <w:name w:val="HotSpot"/>
    <w:rsid w:val="00B061C4"/>
    <w:rPr>
      <w:color w:val="0033CC"/>
      <w:u w:val="none"/>
    </w:rPr>
  </w:style>
  <w:style w:type="paragraph" w:customStyle="1" w:styleId="BodyTextRight">
    <w:name w:val="Body Text Right"/>
    <w:basedOn w:val="BodyText"/>
    <w:rsid w:val="00B061C4"/>
    <w:pPr>
      <w:spacing w:before="0" w:after="0"/>
      <w:jc w:val="right"/>
    </w:pPr>
  </w:style>
  <w:style w:type="paragraph" w:styleId="Index3">
    <w:name w:val="index 3"/>
    <w:basedOn w:val="ListNumber2"/>
    <w:next w:val="Normal"/>
    <w:semiHidden/>
    <w:rsid w:val="00B061C4"/>
    <w:pPr>
      <w:numPr>
        <w:numId w:val="0"/>
      </w:numPr>
      <w:tabs>
        <w:tab w:val="right" w:leader="dot" w:pos="4176"/>
      </w:tabs>
    </w:pPr>
  </w:style>
  <w:style w:type="paragraph" w:styleId="ListNumber2">
    <w:name w:val="List Number 2"/>
    <w:basedOn w:val="List2"/>
    <w:rsid w:val="00B061C4"/>
    <w:pPr>
      <w:numPr>
        <w:numId w:val="10"/>
      </w:numPr>
      <w:tabs>
        <w:tab w:val="clear" w:pos="1060"/>
      </w:tabs>
    </w:pPr>
  </w:style>
  <w:style w:type="paragraph" w:customStyle="1" w:styleId="MarginNote">
    <w:name w:val="Margin Note"/>
    <w:basedOn w:val="BodyText"/>
    <w:rsid w:val="00B061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1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1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1C4"/>
    <w:rPr>
      <w:sz w:val="32"/>
    </w:rPr>
  </w:style>
  <w:style w:type="paragraph" w:customStyle="1" w:styleId="HeadingProcedure">
    <w:name w:val="Heading Procedure"/>
    <w:basedOn w:val="HeadingBase"/>
    <w:next w:val="Normal"/>
    <w:rsid w:val="00B061C4"/>
    <w:pPr>
      <w:tabs>
        <w:tab w:val="left" w:pos="0"/>
      </w:tabs>
      <w:spacing w:before="120" w:after="60"/>
    </w:pPr>
    <w:rPr>
      <w:i/>
      <w:color w:val="918585"/>
      <w:sz w:val="22"/>
    </w:rPr>
  </w:style>
  <w:style w:type="paragraph" w:customStyle="1" w:styleId="TableBodyText">
    <w:name w:val="Table Body Text"/>
    <w:basedOn w:val="BodyText"/>
    <w:rsid w:val="00B061C4"/>
    <w:pPr>
      <w:spacing w:before="60" w:after="60"/>
    </w:pPr>
  </w:style>
  <w:style w:type="paragraph" w:styleId="ListContinue">
    <w:name w:val="List Continue"/>
    <w:basedOn w:val="List"/>
    <w:rsid w:val="00B061C4"/>
    <w:pPr>
      <w:ind w:firstLine="0"/>
    </w:pPr>
  </w:style>
  <w:style w:type="paragraph" w:customStyle="1" w:styleId="ListNote">
    <w:name w:val="List Note"/>
    <w:basedOn w:val="List"/>
    <w:rsid w:val="00B061C4"/>
    <w:pPr>
      <w:pBdr>
        <w:top w:val="single" w:sz="6" w:space="2" w:color="918585"/>
        <w:bottom w:val="single" w:sz="6" w:space="2" w:color="918585"/>
      </w:pBdr>
      <w:tabs>
        <w:tab w:val="left" w:pos="1021"/>
      </w:tabs>
      <w:ind w:firstLine="0"/>
    </w:pPr>
  </w:style>
  <w:style w:type="paragraph" w:customStyle="1" w:styleId="Warning">
    <w:name w:val="Warning"/>
    <w:basedOn w:val="BodyText"/>
    <w:rsid w:val="00B061C4"/>
    <w:pPr>
      <w:shd w:val="clear" w:color="auto" w:fill="D9D9D9"/>
      <w:tabs>
        <w:tab w:val="left" w:pos="992"/>
      </w:tabs>
      <w:ind w:left="119" w:right="119"/>
    </w:pPr>
    <w:rPr>
      <w:sz w:val="20"/>
    </w:rPr>
  </w:style>
  <w:style w:type="paragraph" w:customStyle="1" w:styleId="MarginIcons">
    <w:name w:val="Margin Icons"/>
    <w:basedOn w:val="BodyText"/>
    <w:rsid w:val="00B061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1C4"/>
    <w:rPr>
      <w:rFonts w:ascii="Courier New" w:hAnsi="Courier New"/>
    </w:rPr>
  </w:style>
  <w:style w:type="paragraph" w:customStyle="1" w:styleId="NoteBullet">
    <w:name w:val="Note Bullet"/>
    <w:basedOn w:val="Note"/>
    <w:rsid w:val="00B061C4"/>
    <w:pPr>
      <w:tabs>
        <w:tab w:val="clear" w:pos="680"/>
      </w:tabs>
      <w:spacing w:before="60" w:after="60"/>
    </w:pPr>
  </w:style>
  <w:style w:type="paragraph" w:customStyle="1" w:styleId="SubHeading2">
    <w:name w:val="SubHeading2"/>
    <w:basedOn w:val="HeadingBase"/>
    <w:rsid w:val="00B061C4"/>
    <w:pPr>
      <w:spacing w:before="240" w:after="60"/>
    </w:pPr>
    <w:rPr>
      <w:sz w:val="20"/>
    </w:rPr>
  </w:style>
  <w:style w:type="paragraph" w:customStyle="1" w:styleId="SubHeading1">
    <w:name w:val="SubHeading1"/>
    <w:basedOn w:val="HeadingBase"/>
    <w:rsid w:val="00B061C4"/>
    <w:pPr>
      <w:spacing w:before="240" w:after="60"/>
    </w:pPr>
    <w:rPr>
      <w:color w:val="918585"/>
      <w:sz w:val="22"/>
    </w:rPr>
  </w:style>
  <w:style w:type="paragraph" w:customStyle="1" w:styleId="SideHeading">
    <w:name w:val="Side Heading"/>
    <w:basedOn w:val="HeadingBase"/>
    <w:rsid w:val="00B061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1C4"/>
    <w:pPr>
      <w:tabs>
        <w:tab w:val="num" w:pos="360"/>
      </w:tabs>
    </w:pPr>
  </w:style>
  <w:style w:type="paragraph" w:styleId="PlainText">
    <w:name w:val="Plain Text"/>
    <w:basedOn w:val="Normal"/>
    <w:link w:val="PlainTextChar"/>
    <w:rsid w:val="00B061C4"/>
    <w:rPr>
      <w:sz w:val="20"/>
    </w:rPr>
  </w:style>
  <w:style w:type="character" w:customStyle="1" w:styleId="PlainTextChar">
    <w:name w:val="Plain Text Char"/>
    <w:basedOn w:val="DefaultParagraphFont"/>
    <w:link w:val="PlainText"/>
    <w:rsid w:val="00B061C4"/>
    <w:rPr>
      <w:rFonts w:ascii="Courier New" w:eastAsia="Times New Roman" w:hAnsi="Courier New" w:cs="Times New Roman"/>
      <w:sz w:val="20"/>
      <w:szCs w:val="20"/>
      <w:lang w:eastAsia="en-US"/>
    </w:rPr>
  </w:style>
  <w:style w:type="character" w:customStyle="1" w:styleId="MenuOption">
    <w:name w:val="Menu Option"/>
    <w:basedOn w:val="DefaultParagraphFont"/>
    <w:rsid w:val="00B061C4"/>
    <w:rPr>
      <w:b/>
      <w:smallCaps/>
    </w:rPr>
  </w:style>
  <w:style w:type="paragraph" w:customStyle="1" w:styleId="TableListNumber">
    <w:name w:val="Table List Number"/>
    <w:basedOn w:val="ListNumber"/>
    <w:rsid w:val="00B061C4"/>
    <w:pPr>
      <w:numPr>
        <w:numId w:val="0"/>
      </w:numPr>
    </w:pPr>
  </w:style>
  <w:style w:type="paragraph" w:styleId="TOC4">
    <w:name w:val="toc 4"/>
    <w:basedOn w:val="TOCBase"/>
    <w:next w:val="Normal"/>
    <w:semiHidden/>
    <w:rsid w:val="00B061C4"/>
    <w:pPr>
      <w:tabs>
        <w:tab w:val="right" w:leader="dot" w:pos="9071"/>
      </w:tabs>
      <w:ind w:left="1701"/>
    </w:pPr>
  </w:style>
  <w:style w:type="paragraph" w:customStyle="1" w:styleId="ListAlpha">
    <w:name w:val="List Alpha"/>
    <w:basedOn w:val="List"/>
    <w:rsid w:val="00B061C4"/>
    <w:pPr>
      <w:numPr>
        <w:numId w:val="9"/>
      </w:numPr>
    </w:pPr>
  </w:style>
  <w:style w:type="paragraph" w:customStyle="1" w:styleId="ListAlpha2">
    <w:name w:val="List Alpha 2"/>
    <w:basedOn w:val="List2"/>
    <w:rsid w:val="00B061C4"/>
    <w:pPr>
      <w:numPr>
        <w:numId w:val="8"/>
      </w:numPr>
    </w:pPr>
  </w:style>
  <w:style w:type="paragraph" w:styleId="List2">
    <w:name w:val="List 2"/>
    <w:basedOn w:val="BodyText"/>
    <w:rsid w:val="00B061C4"/>
    <w:pPr>
      <w:tabs>
        <w:tab w:val="left" w:pos="680"/>
      </w:tabs>
      <w:spacing w:before="60" w:after="60"/>
      <w:ind w:left="680" w:hanging="340"/>
    </w:pPr>
  </w:style>
  <w:style w:type="paragraph" w:styleId="List3">
    <w:name w:val="List 3"/>
    <w:basedOn w:val="BodyText"/>
    <w:rsid w:val="00B061C4"/>
    <w:pPr>
      <w:tabs>
        <w:tab w:val="left" w:pos="1021"/>
      </w:tabs>
      <w:spacing w:before="60" w:after="60"/>
      <w:ind w:left="1020" w:hanging="340"/>
    </w:pPr>
  </w:style>
  <w:style w:type="paragraph" w:styleId="List4">
    <w:name w:val="List 4"/>
    <w:basedOn w:val="BodyText"/>
    <w:rsid w:val="00B061C4"/>
    <w:pPr>
      <w:tabs>
        <w:tab w:val="left" w:pos="1361"/>
      </w:tabs>
      <w:spacing w:before="60" w:after="60"/>
      <w:ind w:left="1361" w:hanging="340"/>
    </w:pPr>
  </w:style>
  <w:style w:type="paragraph" w:styleId="List5">
    <w:name w:val="List 5"/>
    <w:basedOn w:val="BodyText"/>
    <w:rsid w:val="00B061C4"/>
    <w:pPr>
      <w:tabs>
        <w:tab w:val="left" w:pos="1701"/>
      </w:tabs>
      <w:spacing w:before="60" w:after="60"/>
      <w:ind w:left="1701" w:hanging="340"/>
    </w:pPr>
  </w:style>
  <w:style w:type="paragraph" w:styleId="ListBullet3">
    <w:name w:val="List Bullet 3"/>
    <w:basedOn w:val="List3"/>
    <w:rsid w:val="00B061C4"/>
    <w:pPr>
      <w:numPr>
        <w:numId w:val="14"/>
      </w:numPr>
      <w:tabs>
        <w:tab w:val="clear" w:pos="1021"/>
      </w:tabs>
      <w:ind w:left="1037" w:hanging="357"/>
    </w:pPr>
  </w:style>
  <w:style w:type="paragraph" w:styleId="ListBullet4">
    <w:name w:val="List Bullet 4"/>
    <w:basedOn w:val="List4"/>
    <w:rsid w:val="00B061C4"/>
    <w:pPr>
      <w:numPr>
        <w:numId w:val="3"/>
      </w:numPr>
      <w:tabs>
        <w:tab w:val="clear" w:pos="1361"/>
      </w:tabs>
    </w:pPr>
  </w:style>
  <w:style w:type="paragraph" w:styleId="ListBullet5">
    <w:name w:val="List Bullet 5"/>
    <w:basedOn w:val="List5"/>
    <w:rsid w:val="00B061C4"/>
    <w:pPr>
      <w:numPr>
        <w:numId w:val="4"/>
      </w:numPr>
    </w:pPr>
  </w:style>
  <w:style w:type="paragraph" w:styleId="ListContinue2">
    <w:name w:val="List Continue 2"/>
    <w:basedOn w:val="List2"/>
    <w:rsid w:val="00B061C4"/>
    <w:pPr>
      <w:ind w:firstLine="0"/>
    </w:pPr>
  </w:style>
  <w:style w:type="paragraph" w:styleId="ListContinue3">
    <w:name w:val="List Continue 3"/>
    <w:basedOn w:val="List3"/>
    <w:rsid w:val="00B061C4"/>
    <w:pPr>
      <w:ind w:left="1021" w:firstLine="0"/>
    </w:pPr>
  </w:style>
  <w:style w:type="paragraph" w:styleId="ListContinue4">
    <w:name w:val="List Continue 4"/>
    <w:basedOn w:val="List4"/>
    <w:rsid w:val="00B061C4"/>
    <w:pPr>
      <w:ind w:firstLine="0"/>
    </w:pPr>
  </w:style>
  <w:style w:type="paragraph" w:styleId="ListContinue5">
    <w:name w:val="List Continue 5"/>
    <w:basedOn w:val="List5"/>
    <w:rsid w:val="00B061C4"/>
    <w:pPr>
      <w:ind w:firstLine="0"/>
    </w:pPr>
  </w:style>
  <w:style w:type="paragraph" w:styleId="ListNumber3">
    <w:name w:val="List Number 3"/>
    <w:basedOn w:val="List3"/>
    <w:rsid w:val="00B061C4"/>
    <w:pPr>
      <w:numPr>
        <w:numId w:val="5"/>
      </w:numPr>
    </w:pPr>
  </w:style>
  <w:style w:type="paragraph" w:styleId="ListNumber4">
    <w:name w:val="List Number 4"/>
    <w:basedOn w:val="List4"/>
    <w:rsid w:val="00B061C4"/>
    <w:pPr>
      <w:numPr>
        <w:numId w:val="6"/>
      </w:numPr>
    </w:pPr>
  </w:style>
  <w:style w:type="paragraph" w:styleId="ListNumber5">
    <w:name w:val="List Number 5"/>
    <w:basedOn w:val="List5"/>
    <w:rsid w:val="00B061C4"/>
    <w:pPr>
      <w:numPr>
        <w:numId w:val="7"/>
      </w:numPr>
    </w:pPr>
  </w:style>
  <w:style w:type="paragraph" w:styleId="BlockText">
    <w:name w:val="Block Text"/>
    <w:basedOn w:val="Normal"/>
    <w:rsid w:val="00B061C4"/>
    <w:pPr>
      <w:spacing w:after="120"/>
      <w:ind w:left="1440" w:right="1440"/>
    </w:pPr>
  </w:style>
  <w:style w:type="character" w:customStyle="1" w:styleId="Subscript">
    <w:name w:val="Subscript"/>
    <w:basedOn w:val="DefaultParagraphFont"/>
    <w:rsid w:val="00B061C4"/>
    <w:rPr>
      <w:sz w:val="16"/>
      <w:vertAlign w:val="subscript"/>
    </w:rPr>
  </w:style>
  <w:style w:type="character" w:customStyle="1" w:styleId="Superscript">
    <w:name w:val="Superscript"/>
    <w:basedOn w:val="DefaultParagraphFont"/>
    <w:rsid w:val="00B061C4"/>
    <w:rPr>
      <w:sz w:val="16"/>
      <w:vertAlign w:val="superscript"/>
    </w:rPr>
  </w:style>
  <w:style w:type="character" w:customStyle="1" w:styleId="Symbols">
    <w:name w:val="Symbols"/>
    <w:basedOn w:val="DefaultParagraphFont"/>
    <w:rsid w:val="00B061C4"/>
    <w:rPr>
      <w:rFonts w:ascii="Symbol" w:hAnsi="Symbol"/>
    </w:rPr>
  </w:style>
  <w:style w:type="character" w:customStyle="1" w:styleId="MenuOptions">
    <w:name w:val="Menu Options"/>
    <w:basedOn w:val="DefaultParagraphFont"/>
    <w:rsid w:val="00B061C4"/>
    <w:rPr>
      <w:rFonts w:ascii="Arial Narrow" w:hAnsi="Arial Narrow"/>
      <w:smallCaps/>
    </w:rPr>
  </w:style>
  <w:style w:type="character" w:customStyle="1" w:styleId="Buttons">
    <w:name w:val="Buttons"/>
    <w:basedOn w:val="DefaultParagraphFont"/>
    <w:rsid w:val="00B061C4"/>
    <w:rPr>
      <w:b/>
    </w:rPr>
  </w:style>
  <w:style w:type="character" w:customStyle="1" w:styleId="Underlined">
    <w:name w:val="Underlined"/>
    <w:basedOn w:val="DefaultParagraphFont"/>
    <w:rsid w:val="00B061C4"/>
    <w:rPr>
      <w:u w:val="single"/>
    </w:rPr>
  </w:style>
  <w:style w:type="paragraph" w:customStyle="1" w:styleId="TableBodyTextRight">
    <w:name w:val="Table Body Text Right"/>
    <w:basedOn w:val="TableBodyText"/>
    <w:rsid w:val="00B061C4"/>
    <w:pPr>
      <w:widowControl w:val="0"/>
      <w:autoSpaceDE w:val="0"/>
      <w:autoSpaceDN w:val="0"/>
      <w:adjustRightInd w:val="0"/>
      <w:jc w:val="right"/>
    </w:pPr>
    <w:rPr>
      <w:rFonts w:cs="Arial"/>
      <w:szCs w:val="18"/>
    </w:rPr>
  </w:style>
  <w:style w:type="paragraph" w:customStyle="1" w:styleId="CopyrightText">
    <w:name w:val="Copyright Text"/>
    <w:basedOn w:val="BodyText"/>
    <w:rsid w:val="00B061C4"/>
    <w:rPr>
      <w:sz w:val="18"/>
    </w:rPr>
  </w:style>
  <w:style w:type="paragraph" w:customStyle="1" w:styleId="BodySmallRight">
    <w:name w:val="Body Small Right"/>
    <w:basedOn w:val="BodyTextRight"/>
    <w:rsid w:val="00B061C4"/>
    <w:rPr>
      <w:sz w:val="18"/>
      <w:szCs w:val="18"/>
    </w:rPr>
  </w:style>
  <w:style w:type="paragraph" w:customStyle="1" w:styleId="MarginEdition">
    <w:name w:val="Margin Edition"/>
    <w:basedOn w:val="MarginNote"/>
    <w:rsid w:val="00B061C4"/>
    <w:pPr>
      <w:spacing w:before="0" w:after="0"/>
    </w:pPr>
    <w:rPr>
      <w:rFonts w:ascii="Times New Roman" w:hAnsi="Times New Roman"/>
      <w:color w:val="999999"/>
    </w:rPr>
  </w:style>
  <w:style w:type="paragraph" w:customStyle="1" w:styleId="Spacer">
    <w:name w:val="Spacer"/>
    <w:basedOn w:val="Normal"/>
    <w:rsid w:val="00B061C4"/>
    <w:rPr>
      <w:sz w:val="2"/>
      <w:szCs w:val="2"/>
    </w:rPr>
  </w:style>
  <w:style w:type="character" w:customStyle="1" w:styleId="Small">
    <w:name w:val="Small"/>
    <w:basedOn w:val="DefaultParagraphFont"/>
    <w:rsid w:val="00B061C4"/>
    <w:rPr>
      <w:sz w:val="16"/>
    </w:rPr>
  </w:style>
  <w:style w:type="paragraph" w:customStyle="1" w:styleId="WideTable">
    <w:name w:val="Wide Table"/>
    <w:basedOn w:val="Normal"/>
    <w:rsid w:val="00B061C4"/>
    <w:pPr>
      <w:ind w:left="-1418"/>
    </w:pPr>
    <w:rPr>
      <w:sz w:val="2"/>
      <w:szCs w:val="2"/>
    </w:rPr>
  </w:style>
  <w:style w:type="character" w:styleId="PageNumber">
    <w:name w:val="page number"/>
    <w:basedOn w:val="DefaultParagraphFont"/>
    <w:rsid w:val="00B061C4"/>
  </w:style>
  <w:style w:type="paragraph" w:styleId="Quote">
    <w:name w:val="Quote"/>
    <w:basedOn w:val="Heading1"/>
    <w:link w:val="QuoteChar"/>
    <w:qFormat/>
    <w:rsid w:val="00B061C4"/>
    <w:rPr>
      <w:b w:val="0"/>
      <w:sz w:val="72"/>
      <w:szCs w:val="72"/>
      <w:lang w:val="en-NZ"/>
    </w:rPr>
  </w:style>
  <w:style w:type="character" w:customStyle="1" w:styleId="QuoteChar">
    <w:name w:val="Quote Char"/>
    <w:basedOn w:val="DefaultParagraphFont"/>
    <w:link w:val="Quote"/>
    <w:rsid w:val="00B061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1C4"/>
    <w:pPr>
      <w:pageBreakBefore/>
    </w:pPr>
  </w:style>
  <w:style w:type="paragraph" w:customStyle="1" w:styleId="Border">
    <w:name w:val="Border"/>
    <w:basedOn w:val="Normal"/>
    <w:qFormat/>
    <w:rsid w:val="00B061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1C4"/>
    <w:rPr>
      <w:b/>
      <w:bCs/>
      <w:i/>
      <w:iCs/>
      <w:color w:val="auto"/>
    </w:rPr>
  </w:style>
  <w:style w:type="paragraph" w:styleId="IntenseQuote">
    <w:name w:val="Intense Quote"/>
    <w:basedOn w:val="Normal"/>
    <w:next w:val="Normal"/>
    <w:link w:val="IntenseQuoteChar"/>
    <w:uiPriority w:val="30"/>
    <w:qFormat/>
    <w:rsid w:val="00B061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1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1C4"/>
    <w:rPr>
      <w:smallCaps/>
      <w:color w:val="auto"/>
      <w:u w:val="single"/>
    </w:rPr>
  </w:style>
  <w:style w:type="character" w:styleId="IntenseReference">
    <w:name w:val="Intense Reference"/>
    <w:basedOn w:val="DefaultParagraphFont"/>
    <w:uiPriority w:val="32"/>
    <w:qFormat/>
    <w:rsid w:val="00B061C4"/>
    <w:rPr>
      <w:b/>
      <w:bCs/>
      <w:smallCaps/>
      <w:color w:val="auto"/>
      <w:spacing w:val="5"/>
      <w:u w:val="single"/>
    </w:rPr>
  </w:style>
  <w:style w:type="paragraph" w:customStyle="1" w:styleId="2ColumnHeading">
    <w:name w:val="2Column Heading"/>
    <w:basedOn w:val="BodyText"/>
    <w:qFormat/>
    <w:rsid w:val="00B061C4"/>
    <w:pPr>
      <w:spacing w:after="60"/>
      <w:ind w:left="-2268"/>
    </w:pPr>
    <w:rPr>
      <w:b/>
    </w:rPr>
  </w:style>
  <w:style w:type="paragraph" w:customStyle="1" w:styleId="Heading1TOC">
    <w:name w:val="Heading1 TOC"/>
    <w:basedOn w:val="Normal"/>
    <w:qFormat/>
    <w:rsid w:val="00B061C4"/>
    <w:pPr>
      <w:spacing w:before="240" w:after="120"/>
    </w:pPr>
    <w:rPr>
      <w:rFonts w:ascii="Times New Roman" w:hAnsi="Times New Roman"/>
      <w:b/>
      <w:sz w:val="32"/>
    </w:rPr>
  </w:style>
  <w:style w:type="paragraph" w:customStyle="1" w:styleId="Heading2TOC">
    <w:name w:val="Heading2 TOC"/>
    <w:basedOn w:val="Normal"/>
    <w:qFormat/>
    <w:rsid w:val="00B061C4"/>
    <w:pPr>
      <w:spacing w:before="240" w:after="60"/>
    </w:pPr>
    <w:rPr>
      <w:rFonts w:ascii="Times New Roman" w:hAnsi="Times New Roman"/>
      <w:b/>
      <w:sz w:val="28"/>
    </w:rPr>
  </w:style>
  <w:style w:type="character" w:customStyle="1" w:styleId="Underline">
    <w:name w:val="Underline"/>
    <w:basedOn w:val="DefaultParagraphFont"/>
    <w:qFormat/>
    <w:rsid w:val="00B061C4"/>
    <w:rPr>
      <w:u w:val="single"/>
    </w:rPr>
  </w:style>
  <w:style w:type="character" w:customStyle="1" w:styleId="BoldandItalics">
    <w:name w:val="Bold and Italics"/>
    <w:qFormat/>
    <w:rsid w:val="00B061C4"/>
    <w:rPr>
      <w:b/>
      <w:i/>
      <w:u w:val="none"/>
    </w:rPr>
  </w:style>
  <w:style w:type="paragraph" w:styleId="BalloonText">
    <w:name w:val="Balloon Text"/>
    <w:basedOn w:val="Normal"/>
    <w:link w:val="BalloonTextChar"/>
    <w:rsid w:val="00B061C4"/>
    <w:rPr>
      <w:rFonts w:ascii="Tahoma" w:hAnsi="Tahoma" w:cs="Tahoma"/>
      <w:sz w:val="16"/>
      <w:szCs w:val="16"/>
    </w:rPr>
  </w:style>
  <w:style w:type="character" w:customStyle="1" w:styleId="BalloonTextChar">
    <w:name w:val="Balloon Text Char"/>
    <w:basedOn w:val="DefaultParagraphFont"/>
    <w:link w:val="BalloonText"/>
    <w:rsid w:val="00B061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1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1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1C4"/>
    <w:rPr>
      <w:b/>
      <w:color w:val="660033"/>
      <w:spacing w:val="0"/>
    </w:rPr>
  </w:style>
  <w:style w:type="paragraph" w:customStyle="1" w:styleId="Nameditemlist">
    <w:name w:val="Named item list"/>
    <w:basedOn w:val="BodyText"/>
    <w:qFormat/>
    <w:rsid w:val="00B061C4"/>
    <w:pPr>
      <w:tabs>
        <w:tab w:val="left" w:pos="2835"/>
      </w:tabs>
      <w:ind w:left="2835" w:hanging="2835"/>
    </w:pPr>
  </w:style>
  <w:style w:type="paragraph" w:customStyle="1" w:styleId="BodyTextnopadding">
    <w:name w:val="Body Text no padding"/>
    <w:basedOn w:val="BodyText"/>
    <w:qFormat/>
    <w:rsid w:val="00B061C4"/>
    <w:pPr>
      <w:spacing w:before="0" w:after="0"/>
    </w:pPr>
  </w:style>
  <w:style w:type="paragraph" w:customStyle="1" w:styleId="BodyTextBold">
    <w:name w:val="Body Text Bold"/>
    <w:basedOn w:val="BodyText"/>
    <w:qFormat/>
    <w:rsid w:val="00B061C4"/>
    <w:rPr>
      <w:b/>
    </w:rPr>
  </w:style>
  <w:style w:type="character" w:styleId="Hyperlink">
    <w:name w:val="Hyperlink"/>
    <w:basedOn w:val="DefaultParagraphFont"/>
    <w:uiPriority w:val="99"/>
    <w:unhideWhenUsed/>
    <w:rsid w:val="007D5E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8065</Characters>
  <Application>Microsoft Office Word</Application>
  <DocSecurity>0</DocSecurity>
  <Lines>288</Lines>
  <Paragraphs>155</Paragraphs>
  <ScaleCrop>false</ScaleCrop>
  <Company>Author-it Software Corporation Ltd.</Company>
  <LinksUpToDate>false</LinksUpToDate>
  <CharactersWithSpaces>9170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TLID3023 Use specialised liquid bulk gas transfer equipment</dc:title>
  <dc:subject>Approved</dc:subject>
  <dc:creator>Industry Skills Australia</dc:creator>
  <cp:keywords>Release: 2</cp:keywords>
  <dc:description>Review Date: 12 April 2008</dc:description>
  <cp:lastModifiedBy>HSD_TPCMSd.prod</cp:lastModifiedBy>
  <cp:revision>3</cp:revision>
  <dcterms:created xsi:type="dcterms:W3CDTF">2025-03-02T00:11:00Z</dcterms:created>
  <dcterms:modified xsi:type="dcterms:W3CDTF">2025-03-02T00:11:00Z</dcterms:modified>
</cp:coreProperties>
</file>