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179" w:rsidP="005441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TLID3015 Identify and label explosives/dangerous goods</w:t>
      </w:r>
      <w:r>
        <w:fldChar w:fldCharType="end"/>
      </w:r>
    </w:p>
    <w:p w:rsidR="00544179" w:rsidP="00544179">
      <w:pPr>
        <w:pStyle w:val="Version"/>
        <w:sectPr w:rsidSect="00B40D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40DC9" w:rsidP="00B40DC9">
      <w:pPr>
        <w:pStyle w:val="SuperHeading"/>
      </w:pPr>
      <w:r w:rsidRPr="00B40DC9">
        <w:t>TLID3015 Identify and label explosives/dangerous goods</w:t>
      </w:r>
    </w:p>
    <w:p w:rsidR="00000000" w:rsidRPr="00B40DC9" w:rsidP="00B40DC9">
      <w:pPr>
        <w:pStyle w:val="Heading1"/>
      </w:pPr>
      <w:bookmarkStart w:id="1" w:name="O_1267340"/>
      <w:bookmarkEnd w:id="1"/>
      <w:r w:rsidRPr="00B40D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rPr>
                <w:rStyle w:val="SpecialBold"/>
              </w:rPr>
              <w:t>Release 3</w:t>
            </w:r>
            <w:r w:rsidRPr="00B40DC9">
              <w:t xml:space="preserve">. This is the third release of this unit of competency in the TLI Transport and Logistics Training Package.  </w:t>
            </w:r>
          </w:p>
          <w:p w:rsidR="00000000" w:rsidRPr="00B40DC9" w:rsidP="00B40DC9">
            <w:pPr>
              <w:pStyle w:val="ListBullet"/>
            </w:pPr>
            <w:r w:rsidRPr="00B40DC9">
              <w:t>Minor grammatical change to unit Application</w:t>
            </w:r>
          </w:p>
          <w:p w:rsidR="00000000" w:rsidP="00B40DC9">
            <w:pPr>
              <w:pStyle w:val="ListBullet"/>
              <w:rPr>
                <w:lang w:val="en-NZ"/>
              </w:rPr>
            </w:pPr>
            <w:r w:rsidRPr="00B40DC9">
              <w:t>Minor grammatical change to Knowledge Evidence.</w:t>
            </w:r>
          </w:p>
        </w:tc>
      </w:tr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rPr>
                <w:rStyle w:val="SpecialBold"/>
              </w:rPr>
              <w:t>Rel</w:t>
            </w:r>
            <w:r w:rsidRPr="00B40DC9">
              <w:rPr>
                <w:rStyle w:val="SpecialBold"/>
              </w:rPr>
              <w:t>ease 2.</w:t>
            </w:r>
            <w:r w:rsidRPr="00B40DC9">
              <w:t xml:space="preserve"> This is the second release of this unit of competency in the TLI Transport and Logistics Training Package.  </w:t>
            </w:r>
          </w:p>
          <w:p w:rsidR="00000000" w:rsidRPr="00B40DC9" w:rsidP="00B40DC9">
            <w:pPr>
              <w:pStyle w:val="ListBullet2"/>
            </w:pPr>
            <w:r w:rsidRPr="00B40DC9">
              <w:t>Minor changes to unit Application</w:t>
            </w:r>
          </w:p>
          <w:p w:rsidR="00000000" w:rsidRPr="00B40DC9" w:rsidP="00B40DC9">
            <w:pPr>
              <w:pStyle w:val="ListBullet2"/>
            </w:pPr>
            <w:r w:rsidRPr="00B40DC9">
              <w:t>Minor changes to Performance Criteria</w:t>
            </w:r>
          </w:p>
          <w:p w:rsidR="00000000" w:rsidRPr="00B40DC9" w:rsidP="00B40DC9">
            <w:pPr>
              <w:pStyle w:val="ListBullet2"/>
            </w:pPr>
            <w:r w:rsidRPr="00B40DC9">
              <w:t>Minor changes to Performance Evidence</w:t>
            </w:r>
          </w:p>
          <w:p w:rsidR="00000000" w:rsidRPr="00B40DC9" w:rsidP="00B40DC9">
            <w:pPr>
              <w:pStyle w:val="ListBullet2"/>
            </w:pPr>
            <w:r w:rsidRPr="00B40DC9">
              <w:t>Minor changes to Knowledge Evidence</w:t>
            </w:r>
          </w:p>
          <w:p w:rsidR="00000000" w:rsidP="00B40DC9">
            <w:pPr>
              <w:pStyle w:val="ListBullet2"/>
              <w:rPr>
                <w:lang w:val="en-NZ"/>
              </w:rPr>
            </w:pPr>
            <w:r w:rsidRPr="00B40DC9">
              <w:t>Minor changes to Assessment Conditions.</w:t>
            </w:r>
          </w:p>
        </w:tc>
      </w:tr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rPr>
                <w:rStyle w:val="SpecialBold"/>
              </w:rPr>
              <w:t xml:space="preserve">Release 1. </w:t>
            </w:r>
            <w:r w:rsidRPr="00B40DC9">
              <w:t>This is the first release of this unit of competency in the TLI Transport and Logistics Training Package.</w:t>
            </w:r>
          </w:p>
        </w:tc>
      </w:tr>
    </w:tbl>
    <w:p w:rsidR="00000000" w:rsidRPr="00B40DC9" w:rsidP="00B40DC9">
      <w:pPr>
        <w:pStyle w:val="NoPaddingFontSize1"/>
      </w:pPr>
    </w:p>
    <w:p w:rsidR="00000000" w:rsidRPr="00B40DC9" w:rsidP="00B40DC9">
      <w:pPr>
        <w:pStyle w:val="AllowPageBreak"/>
      </w:pPr>
    </w:p>
    <w:p w:rsidR="00000000" w:rsidRPr="00B40DC9" w:rsidP="00B40DC9">
      <w:pPr>
        <w:pStyle w:val="Heading1"/>
      </w:pPr>
      <w:bookmarkStart w:id="2" w:name="O_1267339"/>
      <w:bookmarkEnd w:id="2"/>
      <w:r w:rsidRPr="00B40DC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t>This unit involves the skills</w:t>
            </w:r>
            <w:r w:rsidRPr="00B40DC9">
              <w:t xml:space="preserve"> and knowledge required to identify and label explosives and/or dangerous goods.</w:t>
            </w:r>
          </w:p>
          <w:p w:rsidR="00000000" w:rsidRPr="00B40DC9" w:rsidP="00B40DC9">
            <w:pPr>
              <w:pStyle w:val="BodyText"/>
            </w:pPr>
            <w:r w:rsidRPr="00B40DC9">
              <w:t>It includes assessing, handling and labelling explosives and/or dangerous goods, and complying with all required documentation in accordance with relevant Australian state/ter</w:t>
            </w:r>
            <w:r w:rsidRPr="00B40DC9">
              <w:t xml:space="preserve">ritory regulators and authorities concerned with the carriage of explosives and dangerous goods. </w:t>
            </w:r>
          </w:p>
          <w:p w:rsidR="00000000" w:rsidRPr="00B40DC9" w:rsidP="00B40DC9">
            <w:pPr>
              <w:pStyle w:val="BodyText"/>
            </w:pPr>
            <w:r w:rsidRPr="00B40DC9">
              <w:t>This includes the current Australian Dangerous Goods (ADG) Code, Australian Code for the Transport of Explosives by Road and Rail (AE Code), Globally Harmonis</w:t>
            </w:r>
            <w:r w:rsidRPr="00B40DC9">
              <w:t>ed System of Classification and Labelling of Chemicals (GHS) and workplace procedures.</w:t>
            </w:r>
          </w:p>
          <w:p w:rsidR="00000000" w:rsidRPr="00B40DC9" w:rsidP="00B40DC9">
            <w:pPr>
              <w:pStyle w:val="BodyText"/>
            </w:pPr>
            <w:r w:rsidRPr="00B40DC9">
              <w:t xml:space="preserve">Work is performed under limited or minimum supervision. </w:t>
            </w:r>
          </w:p>
          <w:p w:rsidR="00000000" w:rsidRPr="00B40DC9" w:rsidP="00B40DC9">
            <w:pPr>
              <w:pStyle w:val="BodyText"/>
            </w:pPr>
            <w:r w:rsidRPr="00B40DC9">
              <w:t>No licensing, legislative or certification requirements apply to this unit at the time of publication.</w:t>
            </w:r>
          </w:p>
        </w:tc>
      </w:tr>
    </w:tbl>
    <w:p w:rsidR="00000000" w:rsidRPr="00B40DC9" w:rsidP="00B40DC9">
      <w:pPr>
        <w:pStyle w:val="NoPaddingFontSize1"/>
      </w:pPr>
    </w:p>
    <w:p w:rsidR="00000000" w:rsidRPr="00B40DC9" w:rsidP="00B40DC9">
      <w:pPr>
        <w:pStyle w:val="AllowPageBreak"/>
      </w:pPr>
    </w:p>
    <w:p w:rsidR="00000000" w:rsidRPr="00B40DC9" w:rsidP="00B40DC9">
      <w:pPr>
        <w:pStyle w:val="Heading1"/>
      </w:pPr>
      <w:bookmarkStart w:id="3" w:name="O_1267338"/>
      <w:bookmarkEnd w:id="3"/>
      <w:r w:rsidRPr="00B40DC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t>Not applicable.</w:t>
            </w:r>
          </w:p>
        </w:tc>
      </w:tr>
    </w:tbl>
    <w:p w:rsidR="00544179" w:rsidP="00B40DC9">
      <w:pPr>
        <w:pStyle w:val="NoPaddingFontSize1"/>
      </w:pPr>
    </w:p>
    <w:p w:rsidR="00544179" w:rsidP="00B40DC9">
      <w:pPr>
        <w:pStyle w:val="NoPaddingFontSize1"/>
      </w:pPr>
    </w:p>
    <w:p w:rsidR="00000000" w:rsidRPr="00B40DC9" w:rsidP="00B40DC9">
      <w:pPr>
        <w:pStyle w:val="Heading1"/>
      </w:pPr>
      <w:bookmarkStart w:id="4" w:name="O_1267337"/>
      <w:bookmarkEnd w:id="4"/>
      <w:r w:rsidRPr="00B40DC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t>D – Load Handling</w:t>
            </w:r>
          </w:p>
        </w:tc>
      </w:tr>
    </w:tbl>
    <w:p w:rsidR="00544179" w:rsidP="00B40DC9">
      <w:pPr>
        <w:pStyle w:val="NoPaddingFontSize1"/>
      </w:pPr>
    </w:p>
    <w:p w:rsidR="00544179" w:rsidP="00B40DC9">
      <w:pPr>
        <w:pStyle w:val="NoPaddingFontSize1"/>
      </w:pPr>
    </w:p>
    <w:p w:rsidR="00000000" w:rsidRPr="00B40DC9" w:rsidP="00B40DC9">
      <w:pPr>
        <w:pStyle w:val="Heading1"/>
      </w:pPr>
      <w:bookmarkStart w:id="5" w:name="O_1267336"/>
      <w:bookmarkEnd w:id="5"/>
      <w:r w:rsidRPr="00B40DC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t>Not applicable.</w:t>
            </w:r>
          </w:p>
        </w:tc>
      </w:tr>
    </w:tbl>
    <w:p w:rsidR="00544179" w:rsidP="00B40DC9">
      <w:pPr>
        <w:pStyle w:val="NoPaddingFontSize1"/>
      </w:pPr>
    </w:p>
    <w:p w:rsidR="00544179" w:rsidP="00B40DC9">
      <w:pPr>
        <w:pStyle w:val="NoPaddingFontSize1"/>
      </w:pPr>
    </w:p>
    <w:p w:rsidR="00000000" w:rsidRPr="00B40DC9" w:rsidP="00B40DC9">
      <w:pPr>
        <w:pStyle w:val="Heading1"/>
      </w:pPr>
      <w:bookmarkStart w:id="6" w:name="O_1267334"/>
      <w:bookmarkEnd w:id="6"/>
      <w:r w:rsidRPr="00B40DC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393"/>
        <w:gridCol w:w="593"/>
        <w:gridCol w:w="6108"/>
      </w:tblGrid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rPr>
                <w:rStyle w:val="SpecialBold"/>
              </w:rPr>
              <w:t>ELEMENTS</w:t>
            </w:r>
          </w:p>
        </w:tc>
        <w:tc>
          <w:tcPr>
            <w:tcW w:w="6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rPr>
                <w:rStyle w:val="SpecialBold"/>
              </w:rPr>
              <w:t>PERFORMANCE CRITERIA</w:t>
            </w:r>
          </w:p>
        </w:tc>
      </w:tr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t>Elements describe the essential outcomes.</w:t>
            </w:r>
          </w:p>
        </w:tc>
        <w:tc>
          <w:tcPr>
            <w:tcW w:w="6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t>Performance criteria describe the performance needed to demonstrate achievement of the element.</w:t>
            </w:r>
          </w:p>
        </w:tc>
      </w:tr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rPr>
                <w:rStyle w:val="SpecialBold"/>
              </w:rPr>
              <w:t>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rPr>
                <w:rStyle w:val="SpecialBold"/>
              </w:rPr>
              <w:t>Assess explosives/dangerous goods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rPr>
                <w:rStyle w:val="SpecialBold"/>
              </w:rPr>
              <w:t>1.1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t>Load is checked for explosives and/or dangerous goods in accordance with re</w:t>
            </w:r>
            <w:r w:rsidRPr="00B40DC9">
              <w:t>levant codes and government regulations</w:t>
            </w:r>
          </w:p>
        </w:tc>
      </w:tr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rPr>
                <w:rStyle w:val="SpecialBold"/>
              </w:rPr>
              <w:t>1.2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t xml:space="preserve">Types of explosives and/or dangerous goods are identified from labels, current ADG and/or AE Code declarations and placarding, in accordance with </w:t>
            </w:r>
            <w:r w:rsidRPr="00B40DC9">
              <w:t>workplace procedures, and all required actions are taken to ensure compliance with relevant government regulations and current ADG and/or AE Code, as required</w:t>
            </w:r>
          </w:p>
        </w:tc>
      </w:tr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rPr>
                <w:rStyle w:val="SpecialBold"/>
              </w:rPr>
              <w:t>1.3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t xml:space="preserve">Load hazards are identified from labels and safety data sheets (SDS)/material safety data </w:t>
            </w:r>
            <w:r w:rsidRPr="00B40DC9">
              <w:t xml:space="preserve">sheets (MSDS) and required actions taken to minimise, control or eliminate identified hazards </w:t>
            </w:r>
          </w:p>
        </w:tc>
      </w:tr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rPr>
                <w:rStyle w:val="SpecialBold"/>
              </w:rPr>
              <w:t>2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rPr>
                <w:rStyle w:val="SpecialBold"/>
              </w:rPr>
              <w:t>Handle explosives/dangerous goods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rPr>
                <w:rStyle w:val="SpecialBold"/>
              </w:rPr>
              <w:t>2.1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t>Identified explosives and/or dangerous goods are handled and loaded/unloaded in accordance with regulatory requirements,</w:t>
            </w:r>
            <w:r w:rsidRPr="00B40DC9">
              <w:t xml:space="preserve"> codes, National Transport Commission (NTC) Load Restraint Guide and workplace procedures</w:t>
            </w:r>
          </w:p>
        </w:tc>
      </w:tr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rPr>
                <w:rStyle w:val="SpecialBold"/>
              </w:rPr>
              <w:t>2.2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t xml:space="preserve">Appropriate personal protective equipment (PPE) is used when handling explosives and/or dangerous goods in accordance with class, subsidiary risk and SDS/MSDS </w:t>
            </w:r>
            <w:r w:rsidRPr="00B40DC9">
              <w:t>information</w:t>
            </w:r>
          </w:p>
        </w:tc>
      </w:tr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rPr>
                <w:rStyle w:val="SpecialBold"/>
              </w:rPr>
              <w:t>2.3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t>Identified hazards posed by explosives and/or dangerous goods concerned are taken into account when handling different types of load</w:t>
            </w:r>
          </w:p>
        </w:tc>
      </w:tr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rPr>
                <w:rStyle w:val="SpecialBold"/>
              </w:rPr>
              <w:t>2.4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t>When loading/storing explosives and/or dangerous goods, segregation procedures are followed in accordance with class and subsidiary risk information</w:t>
            </w:r>
          </w:p>
        </w:tc>
      </w:tr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rPr>
                <w:rStyle w:val="SpecialBold"/>
              </w:rPr>
              <w:t>3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rPr>
                <w:rStyle w:val="SpecialBold"/>
              </w:rPr>
              <w:t>Label explosives/dangerous goods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rPr>
                <w:rStyle w:val="SpecialBold"/>
              </w:rPr>
              <w:t>3.1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t>All packages and/or containers are labelled with class and subsidiary risk information, in accordance with current ADG Code and/or AE Code and workplace procedures, as required</w:t>
            </w:r>
          </w:p>
        </w:tc>
      </w:tr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rPr>
                <w:rStyle w:val="SpecialBold"/>
              </w:rPr>
              <w:t>3.2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t>Dangerous goods declaration is included with manifest and other shipping</w:t>
            </w:r>
            <w:r w:rsidRPr="00B40DC9">
              <w:t xml:space="preserve"> documents</w:t>
            </w:r>
          </w:p>
        </w:tc>
      </w:tr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rPr>
                <w:rStyle w:val="SpecialBold"/>
              </w:rPr>
              <w:t>3.3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t>Vehicles carrying explosives and/or dangerous goods are placarded in accordance with current ADG Code and/or AE Code, as required</w:t>
            </w:r>
          </w:p>
        </w:tc>
      </w:tr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rPr>
                <w:rStyle w:val="SpecialBold"/>
              </w:rPr>
              <w:t>4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rPr>
                <w:rStyle w:val="SpecialBold"/>
              </w:rPr>
              <w:t>Complete documentation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rPr>
                <w:rStyle w:val="SpecialBold"/>
              </w:rPr>
              <w:t>4.1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t>Required transport documents are confirmed</w:t>
            </w:r>
          </w:p>
        </w:tc>
      </w:tr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C9">
            <w:pPr>
              <w:pStyle w:val="BodyText"/>
              <w:rPr>
                <w:lang w:val="en-NZ"/>
              </w:rPr>
            </w:pPr>
            <w:r w:rsidRPr="00B40DC9">
              <w:rPr>
                <w:rStyle w:val="SpecialBold"/>
              </w:rPr>
              <w:t>4.2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t>All required transport documents are completed in accordance with current ADG Code and/or AE Code and workplace procedures, as required</w:t>
            </w:r>
          </w:p>
        </w:tc>
      </w:tr>
    </w:tbl>
    <w:p w:rsidR="00000000" w:rsidRPr="00B40DC9" w:rsidP="00B40DC9">
      <w:pPr>
        <w:pStyle w:val="NoPaddingFontSize1"/>
      </w:pPr>
    </w:p>
    <w:p w:rsidR="00000000" w:rsidRPr="00B40DC9" w:rsidP="00B40DC9">
      <w:pPr>
        <w:pStyle w:val="AllowPageBreak"/>
      </w:pPr>
    </w:p>
    <w:p w:rsidR="00000000" w:rsidRPr="00B40DC9" w:rsidP="00B40DC9">
      <w:pPr>
        <w:pStyle w:val="Heading1"/>
      </w:pPr>
      <w:bookmarkStart w:id="7" w:name="O_1267333"/>
      <w:bookmarkEnd w:id="7"/>
      <w:r w:rsidRPr="00B40DC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t>Foundation skills essential to performance are explicit in the performance criter</w:t>
            </w:r>
            <w:r w:rsidRPr="00B40DC9">
              <w:t>ia of this unit of competency.</w:t>
            </w:r>
          </w:p>
        </w:tc>
      </w:tr>
    </w:tbl>
    <w:p w:rsidR="00544179" w:rsidP="00B40DC9">
      <w:pPr>
        <w:pStyle w:val="NoPaddingFontSize1"/>
      </w:pPr>
    </w:p>
    <w:p w:rsidR="00544179" w:rsidP="00B40DC9">
      <w:pPr>
        <w:pStyle w:val="NoPaddingFontSize1"/>
      </w:pPr>
    </w:p>
    <w:p w:rsidR="00000000" w:rsidRPr="00B40DC9" w:rsidP="00B40DC9">
      <w:pPr>
        <w:pStyle w:val="Heading1"/>
      </w:pPr>
      <w:bookmarkStart w:id="8" w:name="O_1267332"/>
      <w:bookmarkEnd w:id="8"/>
      <w:r w:rsidRPr="00B40DC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t>Range is restricted to essential operating conditions and any other variables essential to the work environment.</w:t>
            </w:r>
          </w:p>
          <w:p w:rsidR="00000000" w:rsidRPr="00B40DC9" w:rsidP="00B40DC9">
            <w:pPr>
              <w:pStyle w:val="BodyText"/>
            </w:pPr>
            <w:r w:rsidRPr="00B40DC9">
              <w:t>Non-essential conditions can be found in the TLI Transport and Logistics Training Package Companion Volume Implementation Guide.</w:t>
            </w:r>
          </w:p>
        </w:tc>
      </w:tr>
    </w:tbl>
    <w:p w:rsidR="00000000" w:rsidRPr="00B40DC9" w:rsidP="00B40DC9">
      <w:pPr>
        <w:pStyle w:val="NoPaddingFontSize1"/>
      </w:pPr>
    </w:p>
    <w:p w:rsidR="00000000" w:rsidRPr="00B40DC9" w:rsidP="00B40DC9">
      <w:pPr>
        <w:pStyle w:val="AllowPageBreak"/>
      </w:pPr>
    </w:p>
    <w:p w:rsidR="00000000" w:rsidRPr="00B40DC9" w:rsidP="00B40DC9">
      <w:pPr>
        <w:pStyle w:val="Heading1"/>
      </w:pPr>
      <w:bookmarkStart w:id="9" w:name="O_1267330"/>
      <w:bookmarkEnd w:id="9"/>
      <w:r w:rsidRPr="00B40DC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C9" w:rsidP="00B40DC9">
            <w:pPr>
              <w:pStyle w:val="BodyText"/>
            </w:pPr>
            <w:r w:rsidRPr="00B40DC9">
              <w:t>This unit replaces and is equivalent to TLID3015A Identify and label explosives/d</w:t>
            </w:r>
            <w:r w:rsidRPr="00B40DC9">
              <w:t>angerous goods.</w:t>
            </w:r>
          </w:p>
        </w:tc>
      </w:tr>
    </w:tbl>
    <w:p w:rsidR="00000000" w:rsidRPr="00B40DC9" w:rsidP="00B40DC9">
      <w:pPr>
        <w:pStyle w:val="NoPaddingFontSize1"/>
      </w:pPr>
    </w:p>
    <w:p w:rsidR="00000000" w:rsidRPr="00B40DC9" w:rsidP="00B40DC9">
      <w:pPr>
        <w:pStyle w:val="AllowPageBreak"/>
      </w:pPr>
    </w:p>
    <w:p w:rsidR="00000000" w:rsidRPr="00B40DC9" w:rsidP="00B40DC9">
      <w:pPr>
        <w:pStyle w:val="Heading1"/>
      </w:pPr>
      <w:bookmarkStart w:id="10" w:name="O_1267341"/>
      <w:bookmarkEnd w:id="10"/>
      <w:r w:rsidRPr="00B40DC9">
        <w:t>Links</w:t>
      </w:r>
    </w:p>
    <w:p w:rsidR="00000000" w:rsidRPr="00B40DC9" w:rsidP="00544179">
      <w:pPr>
        <w:pStyle w:val="BodyText"/>
      </w:pPr>
      <w:r w:rsidRPr="00B40D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7785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40DC9" w:rsidP="00B40DC9"/>
    <w:sectPr w:rsidSect="00B40D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D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DC9" w:rsidRPr="00544179" w:rsidP="005441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D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179" w:rsidP="00B40D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4179" w:rsidP="00B40D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44179" w:rsidP="00B40D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D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1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DC9" w:rsidRPr="00544179" w:rsidP="005441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D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179" w:rsidRPr="002D2AF8" w:rsidP="00B40D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TLID3015 Identify and label explosives/dangerous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44179" w:rsidP="00B40D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4E76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DAE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2299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D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D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D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D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D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D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D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D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D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D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D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DC9"/>
  </w:style>
  <w:style w:type="character" w:customStyle="1" w:styleId="Heading1Char">
    <w:name w:val="Heading 1 Char"/>
    <w:basedOn w:val="DefaultParagraphFont"/>
    <w:link w:val="Heading1"/>
    <w:rsid w:val="00B40D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D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D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D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0DC9"/>
    <w:rPr>
      <w:b/>
      <w:spacing w:val="0"/>
    </w:rPr>
  </w:style>
  <w:style w:type="paragraph" w:styleId="ListBullet2">
    <w:name w:val="List Bullet 2"/>
    <w:basedOn w:val="List2"/>
    <w:rsid w:val="00B40D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0D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D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0D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D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D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D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D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D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D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D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D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D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D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D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D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D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D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D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0D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D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D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0D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D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D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D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D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D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D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D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D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0DC9"/>
    <w:rPr>
      <w:i/>
    </w:rPr>
  </w:style>
  <w:style w:type="paragraph" w:styleId="Caption">
    <w:name w:val="caption"/>
    <w:basedOn w:val="BodyText"/>
    <w:next w:val="Normal"/>
    <w:qFormat/>
    <w:rsid w:val="00B40D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D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D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DC9"/>
  </w:style>
  <w:style w:type="paragraph" w:styleId="TableofFigures">
    <w:name w:val="table of figures"/>
    <w:basedOn w:val="Normal"/>
    <w:next w:val="Normal"/>
    <w:semiHidden/>
    <w:rsid w:val="00B40D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D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0DC9"/>
    <w:rPr>
      <w:rFonts w:ascii="Wingdings" w:hAnsi="Wingdings"/>
    </w:rPr>
  </w:style>
  <w:style w:type="paragraph" w:customStyle="1" w:styleId="TableHeading">
    <w:name w:val="Table Heading"/>
    <w:basedOn w:val="HeadingBase"/>
    <w:rsid w:val="00B40D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DC9"/>
    <w:rPr>
      <w:color w:val="0033CC"/>
      <w:u w:val="none"/>
    </w:rPr>
  </w:style>
  <w:style w:type="paragraph" w:customStyle="1" w:styleId="BodyTextRight">
    <w:name w:val="Body Text Right"/>
    <w:basedOn w:val="BodyText"/>
    <w:rsid w:val="00B40D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D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D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D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D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D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DC9"/>
    <w:rPr>
      <w:sz w:val="32"/>
    </w:rPr>
  </w:style>
  <w:style w:type="paragraph" w:customStyle="1" w:styleId="HeadingProcedure">
    <w:name w:val="Heading Procedure"/>
    <w:basedOn w:val="HeadingBase"/>
    <w:next w:val="Normal"/>
    <w:rsid w:val="00B40D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DC9"/>
    <w:pPr>
      <w:spacing w:before="60" w:after="60"/>
    </w:pPr>
  </w:style>
  <w:style w:type="paragraph" w:styleId="ListContinue">
    <w:name w:val="List Continue"/>
    <w:basedOn w:val="List"/>
    <w:rsid w:val="00B40DC9"/>
    <w:pPr>
      <w:ind w:firstLine="0"/>
    </w:pPr>
  </w:style>
  <w:style w:type="paragraph" w:customStyle="1" w:styleId="ListNote">
    <w:name w:val="List Note"/>
    <w:basedOn w:val="List"/>
    <w:rsid w:val="00B40D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D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D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DC9"/>
    <w:rPr>
      <w:rFonts w:ascii="Courier New" w:hAnsi="Courier New"/>
    </w:rPr>
  </w:style>
  <w:style w:type="paragraph" w:customStyle="1" w:styleId="NoteBullet">
    <w:name w:val="Note Bullet"/>
    <w:basedOn w:val="Note"/>
    <w:rsid w:val="00B40D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D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D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D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D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0D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D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DC9"/>
    <w:rPr>
      <w:b/>
      <w:smallCaps/>
    </w:rPr>
  </w:style>
  <w:style w:type="paragraph" w:customStyle="1" w:styleId="TableListNumber">
    <w:name w:val="Table List Number"/>
    <w:basedOn w:val="ListNumber"/>
    <w:rsid w:val="00B40D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D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DC9"/>
    <w:pPr>
      <w:numPr>
        <w:numId w:val="9"/>
      </w:numPr>
    </w:pPr>
  </w:style>
  <w:style w:type="paragraph" w:customStyle="1" w:styleId="ListAlpha2">
    <w:name w:val="List Alpha 2"/>
    <w:basedOn w:val="List2"/>
    <w:rsid w:val="00B40DC9"/>
    <w:pPr>
      <w:numPr>
        <w:numId w:val="8"/>
      </w:numPr>
    </w:pPr>
  </w:style>
  <w:style w:type="paragraph" w:styleId="List2">
    <w:name w:val="List 2"/>
    <w:basedOn w:val="BodyText"/>
    <w:rsid w:val="00B40D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D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D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D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D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D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0DC9"/>
    <w:pPr>
      <w:numPr>
        <w:numId w:val="4"/>
      </w:numPr>
    </w:pPr>
  </w:style>
  <w:style w:type="paragraph" w:styleId="ListContinue2">
    <w:name w:val="List Continue 2"/>
    <w:basedOn w:val="List2"/>
    <w:rsid w:val="00B40DC9"/>
    <w:pPr>
      <w:ind w:firstLine="0"/>
    </w:pPr>
  </w:style>
  <w:style w:type="paragraph" w:styleId="ListContinue3">
    <w:name w:val="List Continue 3"/>
    <w:basedOn w:val="List3"/>
    <w:rsid w:val="00B40DC9"/>
    <w:pPr>
      <w:ind w:left="1021" w:firstLine="0"/>
    </w:pPr>
  </w:style>
  <w:style w:type="paragraph" w:styleId="ListContinue4">
    <w:name w:val="List Continue 4"/>
    <w:basedOn w:val="List4"/>
    <w:rsid w:val="00B40DC9"/>
    <w:pPr>
      <w:ind w:firstLine="0"/>
    </w:pPr>
  </w:style>
  <w:style w:type="paragraph" w:styleId="ListContinue5">
    <w:name w:val="List Continue 5"/>
    <w:basedOn w:val="List5"/>
    <w:rsid w:val="00B40DC9"/>
    <w:pPr>
      <w:ind w:firstLine="0"/>
    </w:pPr>
  </w:style>
  <w:style w:type="paragraph" w:styleId="ListNumber3">
    <w:name w:val="List Number 3"/>
    <w:basedOn w:val="List3"/>
    <w:rsid w:val="00B40DC9"/>
    <w:pPr>
      <w:numPr>
        <w:numId w:val="5"/>
      </w:numPr>
    </w:pPr>
  </w:style>
  <w:style w:type="paragraph" w:styleId="ListNumber4">
    <w:name w:val="List Number 4"/>
    <w:basedOn w:val="List4"/>
    <w:rsid w:val="00B40DC9"/>
    <w:pPr>
      <w:numPr>
        <w:numId w:val="6"/>
      </w:numPr>
    </w:pPr>
  </w:style>
  <w:style w:type="paragraph" w:styleId="ListNumber5">
    <w:name w:val="List Number 5"/>
    <w:basedOn w:val="List5"/>
    <w:rsid w:val="00B40DC9"/>
    <w:pPr>
      <w:numPr>
        <w:numId w:val="7"/>
      </w:numPr>
    </w:pPr>
  </w:style>
  <w:style w:type="paragraph" w:styleId="BlockText">
    <w:name w:val="Block Text"/>
    <w:basedOn w:val="Normal"/>
    <w:rsid w:val="00B40D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D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DC9"/>
    <w:rPr>
      <w:sz w:val="16"/>
      <w:vertAlign w:val="superscript"/>
    </w:rPr>
  </w:style>
  <w:style w:type="character" w:customStyle="1" w:styleId="Symbols">
    <w:name w:val="Symbols"/>
    <w:basedOn w:val="DefaultParagraphFont"/>
    <w:rsid w:val="00B40DC9"/>
    <w:rPr>
      <w:rFonts w:ascii="Symbol" w:hAnsi="Symbol"/>
    </w:rPr>
  </w:style>
  <w:style w:type="character" w:customStyle="1" w:styleId="MenuOptions">
    <w:name w:val="Menu Options"/>
    <w:basedOn w:val="DefaultParagraphFont"/>
    <w:rsid w:val="00B40D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DC9"/>
    <w:rPr>
      <w:b/>
    </w:rPr>
  </w:style>
  <w:style w:type="character" w:customStyle="1" w:styleId="Underlined">
    <w:name w:val="Underlined"/>
    <w:basedOn w:val="DefaultParagraphFont"/>
    <w:rsid w:val="00B40DC9"/>
    <w:rPr>
      <w:u w:val="single"/>
    </w:rPr>
  </w:style>
  <w:style w:type="paragraph" w:customStyle="1" w:styleId="TableBodyTextRight">
    <w:name w:val="Table Body Text Right"/>
    <w:basedOn w:val="TableBodyText"/>
    <w:rsid w:val="00B40D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DC9"/>
    <w:rPr>
      <w:sz w:val="18"/>
    </w:rPr>
  </w:style>
  <w:style w:type="paragraph" w:customStyle="1" w:styleId="BodySmallRight">
    <w:name w:val="Body Small Right"/>
    <w:basedOn w:val="BodyTextRight"/>
    <w:rsid w:val="00B40DC9"/>
    <w:rPr>
      <w:sz w:val="18"/>
      <w:szCs w:val="18"/>
    </w:rPr>
  </w:style>
  <w:style w:type="paragraph" w:customStyle="1" w:styleId="MarginEdition">
    <w:name w:val="Margin Edition"/>
    <w:basedOn w:val="MarginNote"/>
    <w:rsid w:val="00B40D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DC9"/>
    <w:rPr>
      <w:sz w:val="2"/>
      <w:szCs w:val="2"/>
    </w:rPr>
  </w:style>
  <w:style w:type="character" w:customStyle="1" w:styleId="Small">
    <w:name w:val="Small"/>
    <w:basedOn w:val="DefaultParagraphFont"/>
    <w:rsid w:val="00B40DC9"/>
    <w:rPr>
      <w:sz w:val="16"/>
    </w:rPr>
  </w:style>
  <w:style w:type="paragraph" w:customStyle="1" w:styleId="WideTable">
    <w:name w:val="Wide Table"/>
    <w:basedOn w:val="Normal"/>
    <w:rsid w:val="00B40D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DC9"/>
  </w:style>
  <w:style w:type="paragraph" w:styleId="Quote">
    <w:name w:val="Quote"/>
    <w:basedOn w:val="Heading1"/>
    <w:link w:val="QuoteChar"/>
    <w:qFormat/>
    <w:rsid w:val="00B40D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D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DC9"/>
    <w:pPr>
      <w:pageBreakBefore/>
    </w:pPr>
  </w:style>
  <w:style w:type="paragraph" w:customStyle="1" w:styleId="Border">
    <w:name w:val="Border"/>
    <w:basedOn w:val="Normal"/>
    <w:qFormat/>
    <w:rsid w:val="00B40D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D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D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D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D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D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D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D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D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DC9"/>
    <w:rPr>
      <w:u w:val="single"/>
    </w:rPr>
  </w:style>
  <w:style w:type="character" w:customStyle="1" w:styleId="BoldandItalics">
    <w:name w:val="Bold and Italics"/>
    <w:qFormat/>
    <w:rsid w:val="00B40DC9"/>
    <w:rPr>
      <w:b/>
      <w:i/>
      <w:u w:val="none"/>
    </w:rPr>
  </w:style>
  <w:style w:type="paragraph" w:styleId="BalloonText">
    <w:name w:val="Balloon Text"/>
    <w:basedOn w:val="Normal"/>
    <w:link w:val="BalloonTextChar"/>
    <w:rsid w:val="00B40D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D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D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D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D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D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DC9"/>
    <w:pPr>
      <w:spacing w:before="0" w:after="0"/>
    </w:pPr>
  </w:style>
  <w:style w:type="paragraph" w:customStyle="1" w:styleId="BodyTextBold">
    <w:name w:val="Body Text Bold"/>
    <w:basedOn w:val="BodyText"/>
    <w:qFormat/>
    <w:rsid w:val="00B40DC9"/>
    <w:rPr>
      <w:b/>
    </w:rPr>
  </w:style>
  <w:style w:type="character" w:styleId="Hyperlink">
    <w:name w:val="Hyperlink"/>
    <w:basedOn w:val="DefaultParagraphFont"/>
    <w:uiPriority w:val="99"/>
    <w:unhideWhenUsed/>
    <w:rsid w:val="005441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4140</Characters>
  <Application>Microsoft Office Word</Application>
  <DocSecurity>0</DocSecurity>
  <Lines>165</Lines>
  <Paragraphs>87</Paragraphs>
  <ScaleCrop>false</ScaleCrop>
  <Company>Author-it Software Corporation Ltd.</Company>
  <LinksUpToDate>false</LinksUpToDate>
  <CharactersWithSpaces>4702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TLID3015 Identify and label explosives/dangerous goods</dc:title>
  <dc:subject>Approved</dc:subject>
  <dc:creator>Industry Skills Australia</dc:creator>
  <cp:keywords>Release: 3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2024-07-12T07:47:00Z</dcterms:modified>
</cp:coreProperties>
</file>