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68E2" w:rsidP="009E68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TLID3011 Conduct specialised forklift operations</w:t>
      </w:r>
      <w:r>
        <w:fldChar w:fldCharType="end"/>
      </w:r>
    </w:p>
    <w:p w:rsidR="009E68E2" w:rsidP="009E68E2">
      <w:pPr>
        <w:pStyle w:val="Version"/>
        <w:sectPr w:rsidSect="00EB3E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3EE9" w:rsidP="00EB3EE9">
      <w:pPr>
        <w:pStyle w:val="SuperHeading"/>
      </w:pPr>
      <w:r w:rsidRPr="00EB3EE9">
        <w:t>TLID3011 Conduct specialised forklift operations</w:t>
      </w:r>
    </w:p>
    <w:p w:rsidR="00000000" w:rsidRPr="00EB3EE9" w:rsidP="00EB3EE9">
      <w:pPr>
        <w:pStyle w:val="Heading1"/>
      </w:pPr>
      <w:bookmarkStart w:id="1" w:name="O_843520"/>
      <w:bookmarkEnd w:id="1"/>
      <w:r w:rsidRPr="00EB3EE9">
        <w:t>Modification History</w:t>
      </w:r>
    </w:p>
    <w:p w:rsidR="009E68E2" w:rsidP="009E68E2">
      <w:pPr>
        <w:pStyle w:val="BodyText"/>
      </w:pPr>
      <w:r w:rsidRPr="00EB3EE9">
        <w:t>Release 1. This is the first release of this unit of competency in the TLI Transport and Logistics Training Package.</w:t>
      </w:r>
    </w:p>
    <w:p w:rsidR="00000000" w:rsidRPr="00EB3EE9" w:rsidP="00EB3EE9">
      <w:pPr>
        <w:pStyle w:val="Heading1"/>
      </w:pPr>
      <w:bookmarkStart w:id="2" w:name="O_843521"/>
      <w:bookmarkEnd w:id="2"/>
      <w:r w:rsidRPr="00EB3EE9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EB3E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EE9" w:rsidP="00EB3EE9">
            <w:pPr>
              <w:pStyle w:val="BodyText"/>
            </w:pPr>
            <w:r w:rsidRPr="00EB3EE9">
              <w:t xml:space="preserve">This unit involves the skills and knowledge required to operate a forklift with </w:t>
            </w:r>
            <w:r w:rsidRPr="00EB3EE9">
              <w:t>specialised attachments or all-terrain equipment, in accordance with relevant state/territory high risk work licence requirements and regulations, in a variety of operational contexts.</w:t>
            </w:r>
          </w:p>
          <w:p w:rsidR="00000000" w:rsidRPr="00EB3EE9" w:rsidP="00EB3EE9">
            <w:pPr>
              <w:pStyle w:val="BodyText"/>
            </w:pPr>
            <w:r w:rsidRPr="00EB3EE9">
              <w:t>It includes checking attachments and worksite for suitability, selectin</w:t>
            </w:r>
            <w:r w:rsidRPr="00EB3EE9">
              <w:t xml:space="preserve">g type of forklift and accessories for required workplace task, shifting load and completing work in accordance with operational requirements. </w:t>
            </w:r>
          </w:p>
          <w:p w:rsidR="00000000" w:rsidRPr="00EB3EE9" w:rsidP="00EB3EE9">
            <w:pPr>
              <w:pStyle w:val="BodyText"/>
            </w:pPr>
            <w:r w:rsidRPr="00EB3EE9">
              <w:t>Specialised operation of a forklift is performed under some supervision, generally within a team environment. It</w:t>
            </w:r>
            <w:r w:rsidRPr="00EB3EE9">
              <w:t xml:space="preserve"> involves the application of equipment operation principles and procedures to maintain the safety and specialised operation of a forklift</w:t>
            </w:r>
          </w:p>
          <w:p w:rsidR="00000000" w:rsidRPr="00EB3EE9" w:rsidP="00EB3EE9">
            <w:pPr>
              <w:pStyle w:val="BodyText"/>
            </w:pPr>
            <w:r w:rsidRPr="00EB3EE9">
              <w:t>A person who operates a forklift must hold a high risk work licence.</w:t>
            </w:r>
          </w:p>
        </w:tc>
      </w:tr>
    </w:tbl>
    <w:p w:rsidR="009E68E2" w:rsidP="00EB3EE9">
      <w:pPr>
        <w:pStyle w:val="BodyText"/>
      </w:pPr>
    </w:p>
    <w:p w:rsidR="009E68E2" w:rsidP="00EB3EE9">
      <w:pPr>
        <w:pStyle w:val="BodyText"/>
      </w:pPr>
    </w:p>
    <w:p w:rsidR="00000000" w:rsidRPr="00EB3EE9" w:rsidP="00EB3EE9">
      <w:pPr>
        <w:pStyle w:val="Heading1"/>
      </w:pPr>
      <w:bookmarkStart w:id="3" w:name="O_843522"/>
      <w:bookmarkEnd w:id="3"/>
      <w:r w:rsidRPr="00EB3EE9">
        <w:t>Pre-requisite Unit</w:t>
      </w:r>
    </w:p>
    <w:p w:rsidR="009E68E2" w:rsidP="009E68E2">
      <w:pPr>
        <w:pStyle w:val="BodyText"/>
      </w:pPr>
      <w:r w:rsidRPr="00EB3EE9">
        <w:t>Not applic</w:t>
      </w:r>
      <w:r w:rsidRPr="00EB3EE9">
        <w:t>able.</w:t>
      </w:r>
    </w:p>
    <w:p w:rsidR="00000000" w:rsidRPr="00EB3EE9" w:rsidP="00EB3EE9">
      <w:pPr>
        <w:pStyle w:val="Heading1"/>
      </w:pPr>
      <w:bookmarkStart w:id="4" w:name="O_843523"/>
      <w:bookmarkEnd w:id="4"/>
      <w:r w:rsidRPr="00EB3EE9">
        <w:t>Competency Field</w:t>
      </w:r>
    </w:p>
    <w:p w:rsidR="009E68E2" w:rsidP="009E68E2">
      <w:pPr>
        <w:pStyle w:val="BodyText"/>
      </w:pPr>
      <w:r w:rsidRPr="00EB3EE9">
        <w:t>D – Load Handling</w:t>
      </w:r>
    </w:p>
    <w:p w:rsidR="00000000" w:rsidRPr="00EB3EE9" w:rsidP="00EB3EE9">
      <w:pPr>
        <w:pStyle w:val="Heading1"/>
      </w:pPr>
      <w:bookmarkStart w:id="5" w:name="O_843524"/>
      <w:bookmarkEnd w:id="5"/>
      <w:r w:rsidRPr="00EB3EE9">
        <w:t>Unit Sector</w:t>
      </w:r>
    </w:p>
    <w:p w:rsidR="009E68E2" w:rsidP="009E68E2">
      <w:pPr>
        <w:pStyle w:val="BodyText"/>
      </w:pPr>
      <w:r w:rsidRPr="00EB3EE9">
        <w:t>Not applicable.</w:t>
      </w:r>
    </w:p>
    <w:p w:rsidR="00000000" w:rsidRPr="00EB3EE9" w:rsidP="00EB3EE9">
      <w:pPr>
        <w:pStyle w:val="Heading1"/>
      </w:pPr>
      <w:bookmarkStart w:id="6" w:name="O_843525"/>
      <w:bookmarkEnd w:id="6"/>
      <w:r w:rsidRPr="00EB3EE9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9E68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EE9" w:rsidP="00EB3EE9">
            <w:pPr>
              <w:pStyle w:val="BodyText"/>
            </w:pPr>
            <w:r w:rsidRPr="00EB3EE9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E9">
            <w:pPr>
              <w:pStyle w:val="BodyText"/>
              <w:rPr>
                <w:lang w:val="en-NZ"/>
              </w:rPr>
            </w:pPr>
            <w:r w:rsidRPr="00EB3EE9">
              <w:rPr>
                <w:rStyle w:val="SpecialBold"/>
              </w:rPr>
              <w:t>PERFORMANCE CRITERIA</w:t>
            </w:r>
          </w:p>
        </w:tc>
      </w:tr>
      <w:tr w:rsidTr="009E68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E9">
            <w:pPr>
              <w:pStyle w:val="BodyText"/>
              <w:rPr>
                <w:lang w:val="en-NZ"/>
              </w:rPr>
            </w:pPr>
            <w:r w:rsidRPr="00EB3EE9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E9">
            <w:pPr>
              <w:pStyle w:val="BodyText"/>
              <w:rPr>
                <w:lang w:val="en-NZ"/>
              </w:rPr>
            </w:pPr>
            <w:r w:rsidRPr="00EB3EE9">
              <w:t>Performance criteria describe the performance needed to demonstrate achievement of the element.</w:t>
            </w:r>
          </w:p>
        </w:tc>
      </w:tr>
      <w:tr w:rsidTr="009E68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EE9" w:rsidP="00EB3EE9">
            <w:pPr>
              <w:pStyle w:val="BodyText"/>
            </w:pPr>
            <w:r w:rsidRPr="00EB3EE9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E9">
            <w:pPr>
              <w:pStyle w:val="BodyText"/>
              <w:rPr>
                <w:lang w:val="en-NZ"/>
              </w:rPr>
            </w:pPr>
            <w:r w:rsidRPr="00EB3EE9">
              <w:rPr>
                <w:rStyle w:val="SpecialBold"/>
              </w:rPr>
              <w:t>Check attachments and worksite for suitability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E9">
            <w:pPr>
              <w:pStyle w:val="BodyText"/>
              <w:rPr>
                <w:lang w:val="en-NZ"/>
              </w:rPr>
            </w:pPr>
            <w:r w:rsidRPr="00EB3EE9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E9">
            <w:pPr>
              <w:pStyle w:val="BodyText"/>
              <w:rPr>
                <w:lang w:val="en-NZ"/>
              </w:rPr>
            </w:pPr>
            <w:r w:rsidRPr="00EB3EE9">
              <w:t>Suitable work area is selected for operations</w:t>
            </w:r>
          </w:p>
        </w:tc>
      </w:tr>
      <w:tr w:rsidTr="009E68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E9">
            <w:pPr>
              <w:pStyle w:val="BodyText"/>
              <w:rPr>
                <w:lang w:val="en-NZ"/>
              </w:rPr>
            </w:pPr>
            <w:r w:rsidRPr="00EB3EE9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E9">
            <w:pPr>
              <w:pStyle w:val="BodyText"/>
              <w:rPr>
                <w:lang w:val="en-NZ"/>
              </w:rPr>
            </w:pPr>
            <w:r w:rsidRPr="00EB3EE9">
              <w:t>Job hazards are identified and req</w:t>
            </w:r>
            <w:r w:rsidRPr="00EB3EE9">
              <w:t>uired action is taken to minimise, control or eliminate identified hazards</w:t>
            </w:r>
          </w:p>
        </w:tc>
      </w:tr>
      <w:tr w:rsidTr="009E68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E9">
            <w:pPr>
              <w:pStyle w:val="BodyText"/>
              <w:rPr>
                <w:lang w:val="en-NZ"/>
              </w:rPr>
            </w:pPr>
            <w:r w:rsidRPr="00EB3EE9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E9">
            <w:pPr>
              <w:pStyle w:val="BodyText"/>
              <w:rPr>
                <w:lang w:val="en-NZ"/>
              </w:rPr>
            </w:pPr>
            <w:r w:rsidRPr="00EB3EE9">
              <w:t>Work area is checked for overhead obstructions and proximity to service delivery lines</w:t>
            </w:r>
          </w:p>
        </w:tc>
      </w:tr>
      <w:tr w:rsidTr="009E68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E9">
            <w:pPr>
              <w:pStyle w:val="BodyText"/>
              <w:rPr>
                <w:lang w:val="en-NZ"/>
              </w:rPr>
            </w:pPr>
            <w:r w:rsidRPr="00EB3EE9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E9">
            <w:pPr>
              <w:pStyle w:val="BodyText"/>
              <w:rPr>
                <w:lang w:val="en-NZ"/>
              </w:rPr>
            </w:pPr>
            <w:r w:rsidRPr="00EB3EE9">
              <w:t>Barriers or warning signs are erected in areas subject to passing traffic</w:t>
            </w:r>
          </w:p>
        </w:tc>
      </w:tr>
      <w:tr w:rsidTr="009E68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E9">
            <w:pPr>
              <w:pStyle w:val="BodyText"/>
              <w:rPr>
                <w:lang w:val="en-NZ"/>
              </w:rPr>
            </w:pPr>
            <w:r w:rsidRPr="00EB3EE9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E9">
            <w:pPr>
              <w:pStyle w:val="BodyText"/>
              <w:rPr>
                <w:lang w:val="en-NZ"/>
              </w:rPr>
            </w:pPr>
            <w:r w:rsidRPr="00EB3EE9">
              <w:t>Attachments and platforms are securely fixed to carriage or tines</w:t>
            </w:r>
          </w:p>
        </w:tc>
      </w:tr>
      <w:tr w:rsidTr="009E68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E9">
            <w:pPr>
              <w:pStyle w:val="BodyText"/>
              <w:rPr>
                <w:lang w:val="en-NZ"/>
              </w:rPr>
            </w:pPr>
            <w:r w:rsidRPr="00EB3EE9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E9">
            <w:pPr>
              <w:pStyle w:val="BodyText"/>
              <w:rPr>
                <w:lang w:val="en-NZ"/>
              </w:rPr>
            </w:pPr>
            <w:r w:rsidRPr="00EB3EE9">
              <w:t>Personnel support platforms are inspected to ensure accordance with relevant Australian Standard/s</w:t>
            </w:r>
          </w:p>
        </w:tc>
      </w:tr>
      <w:tr w:rsidTr="009E68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EE9" w:rsidP="00EB3EE9">
            <w:pPr>
              <w:pStyle w:val="BodyText"/>
            </w:pPr>
            <w:r w:rsidRPr="00EB3EE9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E9">
            <w:pPr>
              <w:pStyle w:val="BodyText"/>
              <w:rPr>
                <w:lang w:val="en-NZ"/>
              </w:rPr>
            </w:pPr>
            <w:r w:rsidRPr="00EB3EE9">
              <w:rPr>
                <w:rStyle w:val="SpecialBold"/>
              </w:rPr>
              <w:t>Select type of forklift and accessories for required workplace task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E9">
            <w:pPr>
              <w:pStyle w:val="BodyText"/>
              <w:rPr>
                <w:lang w:val="en-NZ"/>
              </w:rPr>
            </w:pPr>
            <w:r w:rsidRPr="00EB3EE9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E9">
            <w:pPr>
              <w:pStyle w:val="BodyText"/>
              <w:rPr>
                <w:lang w:val="en-NZ"/>
              </w:rPr>
            </w:pPr>
            <w:r w:rsidRPr="00EB3EE9">
              <w:t xml:space="preserve">Special </w:t>
            </w:r>
            <w:r w:rsidRPr="00EB3EE9">
              <w:t>equipment, accessories or attachments are identified to match load characteristics and work requirements</w:t>
            </w:r>
          </w:p>
        </w:tc>
      </w:tr>
      <w:tr w:rsidTr="009E68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E9">
            <w:pPr>
              <w:pStyle w:val="BodyText"/>
              <w:rPr>
                <w:lang w:val="en-NZ"/>
              </w:rPr>
            </w:pPr>
            <w:r w:rsidRPr="00EB3EE9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E9">
            <w:pPr>
              <w:pStyle w:val="BodyText"/>
              <w:rPr>
                <w:lang w:val="en-NZ"/>
              </w:rPr>
            </w:pPr>
            <w:r w:rsidRPr="00EB3EE9">
              <w:t>Appropriate specialised equipment is selected</w:t>
            </w:r>
          </w:p>
        </w:tc>
      </w:tr>
      <w:tr w:rsidTr="009E68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E9">
            <w:pPr>
              <w:pStyle w:val="BodyText"/>
              <w:rPr>
                <w:lang w:val="en-NZ"/>
              </w:rPr>
            </w:pPr>
            <w:r w:rsidRPr="00EB3EE9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E9">
            <w:pPr>
              <w:pStyle w:val="BodyText"/>
              <w:rPr>
                <w:lang w:val="en-NZ"/>
              </w:rPr>
            </w:pPr>
            <w:r w:rsidRPr="00EB3EE9">
              <w:t>Existing attachments are removed and stored in accordance with workplace procedures</w:t>
            </w:r>
          </w:p>
        </w:tc>
      </w:tr>
      <w:tr w:rsidTr="009E68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E9">
            <w:pPr>
              <w:pStyle w:val="BodyText"/>
              <w:rPr>
                <w:lang w:val="en-NZ"/>
              </w:rPr>
            </w:pPr>
            <w:r w:rsidRPr="00EB3EE9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E9">
            <w:pPr>
              <w:pStyle w:val="BodyText"/>
              <w:rPr>
                <w:lang w:val="en-NZ"/>
              </w:rPr>
            </w:pPr>
            <w:r w:rsidRPr="00EB3EE9">
              <w:t>Specialised equipment is fitted in accordance with manufacturer instructions and workplace procedures</w:t>
            </w:r>
          </w:p>
        </w:tc>
      </w:tr>
      <w:tr w:rsidTr="009E68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E9">
            <w:pPr>
              <w:pStyle w:val="BodyText"/>
              <w:rPr>
                <w:lang w:val="en-NZ"/>
              </w:rPr>
            </w:pPr>
            <w:r w:rsidRPr="00EB3EE9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E9">
            <w:pPr>
              <w:pStyle w:val="BodyText"/>
              <w:rPr>
                <w:lang w:val="en-NZ"/>
              </w:rPr>
            </w:pPr>
            <w:r w:rsidRPr="00EB3EE9">
              <w:t>Designated staff are notified about specialist operations</w:t>
            </w:r>
          </w:p>
        </w:tc>
      </w:tr>
      <w:tr w:rsidTr="009E68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EE9" w:rsidP="00EB3EE9">
            <w:pPr>
              <w:pStyle w:val="BodyText"/>
            </w:pPr>
            <w:r w:rsidRPr="00EB3EE9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E9">
            <w:pPr>
              <w:pStyle w:val="BodyText"/>
              <w:rPr>
                <w:lang w:val="en-NZ"/>
              </w:rPr>
            </w:pPr>
            <w:r w:rsidRPr="00EB3EE9">
              <w:rPr>
                <w:rStyle w:val="SpecialBold"/>
              </w:rPr>
              <w:t>Shift load and complete work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E9">
            <w:pPr>
              <w:pStyle w:val="BodyText"/>
              <w:rPr>
                <w:lang w:val="en-NZ"/>
              </w:rPr>
            </w:pPr>
            <w:r w:rsidRPr="00EB3EE9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E9">
            <w:pPr>
              <w:pStyle w:val="BodyText"/>
              <w:rPr>
                <w:lang w:val="en-NZ"/>
              </w:rPr>
            </w:pPr>
            <w:r w:rsidRPr="00EB3EE9">
              <w:t>Equipment is oper</w:t>
            </w:r>
            <w:r w:rsidRPr="00EB3EE9">
              <w:t>ated within safe working limits and to maximise efficiency of operations</w:t>
            </w:r>
          </w:p>
        </w:tc>
      </w:tr>
      <w:tr w:rsidTr="009E68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E9">
            <w:pPr>
              <w:pStyle w:val="BodyText"/>
              <w:rPr>
                <w:lang w:val="en-NZ"/>
              </w:rPr>
            </w:pPr>
            <w:r w:rsidRPr="00EB3EE9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E9">
            <w:pPr>
              <w:pStyle w:val="BodyText"/>
              <w:rPr>
                <w:lang w:val="en-NZ"/>
              </w:rPr>
            </w:pPr>
            <w:r w:rsidRPr="00EB3EE9">
              <w:t>Load is lifted, carried and set down in accordance with workplace and manufacturer procedures, and regulatory requirements</w:t>
            </w:r>
          </w:p>
        </w:tc>
      </w:tr>
      <w:tr w:rsidTr="009E68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E9">
            <w:pPr>
              <w:pStyle w:val="BodyText"/>
              <w:rPr>
                <w:lang w:val="en-NZ"/>
              </w:rPr>
            </w:pPr>
            <w:r w:rsidRPr="00EB3EE9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E9">
            <w:pPr>
              <w:pStyle w:val="BodyText"/>
              <w:rPr>
                <w:lang w:val="en-NZ"/>
              </w:rPr>
            </w:pPr>
            <w:r w:rsidRPr="00EB3EE9">
              <w:t>Documentation is completed damage or faults to goods or equipment are reported to appropriate personnel</w:t>
            </w:r>
          </w:p>
        </w:tc>
      </w:tr>
      <w:tr w:rsidTr="009E68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E9">
            <w:pPr>
              <w:pStyle w:val="BodyText"/>
              <w:rPr>
                <w:lang w:val="en-NZ"/>
              </w:rPr>
            </w:pPr>
            <w:r w:rsidRPr="00EB3EE9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EE9" w:rsidP="00EB3EE9">
            <w:pPr>
              <w:pStyle w:val="BodyText"/>
            </w:pPr>
            <w:r w:rsidRPr="00EB3EE9">
              <w:t>Specialist equipment and forklift are returned to appropriate storage/parking area</w:t>
            </w:r>
          </w:p>
        </w:tc>
      </w:tr>
    </w:tbl>
    <w:p w:rsidR="009E68E2" w:rsidP="00EB3EE9">
      <w:pPr>
        <w:pStyle w:val="BodyText"/>
      </w:pPr>
    </w:p>
    <w:p w:rsidR="009E68E2" w:rsidP="00EB3EE9">
      <w:pPr>
        <w:pStyle w:val="BodyText"/>
      </w:pPr>
    </w:p>
    <w:p w:rsidR="00000000" w:rsidRPr="00EB3EE9" w:rsidP="00EB3EE9">
      <w:pPr>
        <w:pStyle w:val="Heading1"/>
      </w:pPr>
      <w:bookmarkStart w:id="7" w:name="O_843526"/>
      <w:bookmarkEnd w:id="7"/>
      <w:r w:rsidRPr="00EB3EE9">
        <w:t>Foundation Skills</w:t>
      </w:r>
    </w:p>
    <w:p w:rsidR="009E68E2" w:rsidP="009E68E2">
      <w:pPr>
        <w:pStyle w:val="BodyText"/>
      </w:pPr>
      <w:r w:rsidRPr="00EB3EE9">
        <w:t>Foundation skills essent</w:t>
      </w:r>
      <w:r w:rsidRPr="00EB3EE9">
        <w:t>ial to performance are explicit in the performance criteria of this unit of competency.</w:t>
      </w:r>
    </w:p>
    <w:p w:rsidR="00000000" w:rsidRPr="00EB3EE9" w:rsidP="00EB3EE9">
      <w:pPr>
        <w:pStyle w:val="Heading1"/>
      </w:pPr>
      <w:bookmarkStart w:id="8" w:name="O_843527"/>
      <w:bookmarkEnd w:id="8"/>
      <w:r w:rsidRPr="00EB3EE9">
        <w:t>Range of Conditions</w:t>
      </w:r>
    </w:p>
    <w:p w:rsidR="00000000" w:rsidRPr="00EB3EE9" w:rsidP="009E68E2">
      <w:pPr>
        <w:pStyle w:val="BodyText"/>
      </w:pPr>
      <w:r w:rsidRPr="00EB3EE9">
        <w:t>Range is restricted to essential operating conditions and any other variables essential to the work environment.</w:t>
      </w:r>
    </w:p>
    <w:p w:rsidR="009E68E2" w:rsidP="009E68E2">
      <w:pPr>
        <w:pStyle w:val="BodyText"/>
      </w:pPr>
      <w:r w:rsidRPr="00EB3EE9">
        <w:t>Non-essential con</w:t>
      </w:r>
      <w:r w:rsidRPr="00EB3EE9">
        <w:t>ditions can be found in the Companion Volume Implementation Guide.</w:t>
      </w:r>
    </w:p>
    <w:p w:rsidR="00000000" w:rsidRPr="00EB3EE9" w:rsidP="00EB3EE9">
      <w:pPr>
        <w:pStyle w:val="Heading1"/>
      </w:pPr>
      <w:bookmarkStart w:id="9" w:name="O_843528"/>
      <w:bookmarkEnd w:id="9"/>
      <w:r w:rsidRPr="00EB3EE9">
        <w:t>Unit Mapping Information</w:t>
      </w:r>
    </w:p>
    <w:p w:rsidR="009E68E2" w:rsidP="009E68E2">
      <w:pPr>
        <w:pStyle w:val="BodyText"/>
      </w:pPr>
      <w:r w:rsidRPr="00EB3EE9">
        <w:t>This unit replaces and is equivalent to TLID3011A Conduct specialised forklift operations.</w:t>
      </w:r>
    </w:p>
    <w:p w:rsidR="00000000" w:rsidRPr="00EB3EE9" w:rsidP="00EB3EE9">
      <w:pPr>
        <w:pStyle w:val="Heading1"/>
      </w:pPr>
      <w:bookmarkStart w:id="10" w:name="O_843535"/>
      <w:bookmarkEnd w:id="10"/>
      <w:r w:rsidRPr="00EB3EE9">
        <w:t>Links</w:t>
      </w:r>
    </w:p>
    <w:p w:rsidR="00000000" w:rsidRPr="00EB3EE9" w:rsidP="009E68E2">
      <w:pPr>
        <w:pStyle w:val="BodyText"/>
      </w:pPr>
      <w:r w:rsidRPr="00EB3EE9">
        <w:t xml:space="preserve">Companion Volume </w:t>
      </w:r>
      <w:r w:rsidRPr="00EB3EE9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71F7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B3EE9" w:rsidP="00EB3EE9"/>
    <w:sectPr w:rsidSect="00EB3E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E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EE9" w:rsidRPr="009E68E2" w:rsidP="009E68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E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8E2" w:rsidP="00EB3E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68E2" w:rsidP="00EB3E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E68E2" w:rsidP="00EB3E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E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8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3EE9" w:rsidRPr="009E68E2" w:rsidP="009E68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E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8E2" w:rsidRPr="002D2AF8" w:rsidP="00EB3E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TLID3011 Conduct specialised forklift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9E68E2" w:rsidP="00EB3E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E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3E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3E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3E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3E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3E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3E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3E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3E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3E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3E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3EE9"/>
  </w:style>
  <w:style w:type="character" w:customStyle="1" w:styleId="Heading1Char">
    <w:name w:val="Heading 1 Char"/>
    <w:basedOn w:val="DefaultParagraphFont"/>
    <w:link w:val="Heading1"/>
    <w:rsid w:val="00EB3E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3E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3EE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B3EE9"/>
    <w:rPr>
      <w:b/>
      <w:spacing w:val="0"/>
    </w:rPr>
  </w:style>
  <w:style w:type="paragraph" w:customStyle="1" w:styleId="SuperHeading">
    <w:name w:val="SuperHeading"/>
    <w:basedOn w:val="Normal"/>
    <w:rsid w:val="00EB3E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3E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3E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3E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3E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3E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3E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3E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3E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3E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3E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3E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3E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3E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3E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3E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3E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3E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3E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3E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3E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3EE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B3E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3E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3E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3E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3EE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3E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3E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3E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3E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3E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3E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3E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3E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3E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3EE9"/>
    <w:rPr>
      <w:i/>
    </w:rPr>
  </w:style>
  <w:style w:type="paragraph" w:styleId="Caption">
    <w:name w:val="caption"/>
    <w:basedOn w:val="BodyText"/>
    <w:next w:val="Normal"/>
    <w:qFormat/>
    <w:rsid w:val="00EB3E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3E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3E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3EE9"/>
  </w:style>
  <w:style w:type="paragraph" w:styleId="TableofFigures">
    <w:name w:val="table of figures"/>
    <w:basedOn w:val="Normal"/>
    <w:next w:val="Normal"/>
    <w:semiHidden/>
    <w:rsid w:val="00EB3E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3EE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B3EE9"/>
    <w:rPr>
      <w:rFonts w:ascii="Wingdings" w:hAnsi="Wingdings"/>
    </w:rPr>
  </w:style>
  <w:style w:type="paragraph" w:customStyle="1" w:styleId="TableHeading">
    <w:name w:val="Table Heading"/>
    <w:basedOn w:val="HeadingBase"/>
    <w:rsid w:val="00EB3E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3EE9"/>
    <w:rPr>
      <w:color w:val="0033CC"/>
      <w:u w:val="none"/>
    </w:rPr>
  </w:style>
  <w:style w:type="paragraph" w:customStyle="1" w:styleId="BodyTextRight">
    <w:name w:val="Body Text Right"/>
    <w:basedOn w:val="BodyText"/>
    <w:rsid w:val="00EB3E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3E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3EE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3E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3E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3E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3EE9"/>
    <w:rPr>
      <w:sz w:val="32"/>
    </w:rPr>
  </w:style>
  <w:style w:type="paragraph" w:customStyle="1" w:styleId="HeadingProcedure">
    <w:name w:val="Heading Procedure"/>
    <w:basedOn w:val="HeadingBase"/>
    <w:next w:val="Normal"/>
    <w:rsid w:val="00EB3E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3EE9"/>
    <w:pPr>
      <w:spacing w:before="60" w:after="60"/>
    </w:pPr>
  </w:style>
  <w:style w:type="paragraph" w:styleId="ListContinue">
    <w:name w:val="List Continue"/>
    <w:basedOn w:val="List"/>
    <w:rsid w:val="00EB3EE9"/>
    <w:pPr>
      <w:ind w:firstLine="0"/>
    </w:pPr>
  </w:style>
  <w:style w:type="paragraph" w:customStyle="1" w:styleId="ListNote">
    <w:name w:val="List Note"/>
    <w:basedOn w:val="List"/>
    <w:rsid w:val="00EB3E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3E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3E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3EE9"/>
    <w:rPr>
      <w:rFonts w:ascii="Courier New" w:hAnsi="Courier New"/>
    </w:rPr>
  </w:style>
  <w:style w:type="paragraph" w:customStyle="1" w:styleId="NoteBullet">
    <w:name w:val="Note Bullet"/>
    <w:basedOn w:val="Note"/>
    <w:rsid w:val="00EB3E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3E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3E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3E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3EE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B3E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3E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3EE9"/>
    <w:rPr>
      <w:b/>
      <w:smallCaps/>
    </w:rPr>
  </w:style>
  <w:style w:type="paragraph" w:customStyle="1" w:styleId="TableListNumber">
    <w:name w:val="Table List Number"/>
    <w:basedOn w:val="ListNumber"/>
    <w:rsid w:val="00EB3E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3E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3EE9"/>
    <w:pPr>
      <w:numPr>
        <w:numId w:val="7"/>
      </w:numPr>
    </w:pPr>
  </w:style>
  <w:style w:type="paragraph" w:customStyle="1" w:styleId="ListAlpha2">
    <w:name w:val="List Alpha 2"/>
    <w:basedOn w:val="List2"/>
    <w:rsid w:val="00EB3EE9"/>
    <w:pPr>
      <w:numPr>
        <w:numId w:val="6"/>
      </w:numPr>
    </w:pPr>
  </w:style>
  <w:style w:type="paragraph" w:styleId="List2">
    <w:name w:val="List 2"/>
    <w:basedOn w:val="BodyText"/>
    <w:rsid w:val="00EB3E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3E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3E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3E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3EE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3EE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B3EE9"/>
    <w:pPr>
      <w:numPr>
        <w:numId w:val="2"/>
      </w:numPr>
    </w:pPr>
  </w:style>
  <w:style w:type="paragraph" w:styleId="ListContinue2">
    <w:name w:val="List Continue 2"/>
    <w:basedOn w:val="List2"/>
    <w:rsid w:val="00EB3EE9"/>
    <w:pPr>
      <w:ind w:firstLine="0"/>
    </w:pPr>
  </w:style>
  <w:style w:type="paragraph" w:styleId="ListContinue3">
    <w:name w:val="List Continue 3"/>
    <w:basedOn w:val="List3"/>
    <w:rsid w:val="00EB3EE9"/>
    <w:pPr>
      <w:ind w:left="1021" w:firstLine="0"/>
    </w:pPr>
  </w:style>
  <w:style w:type="paragraph" w:styleId="ListContinue4">
    <w:name w:val="List Continue 4"/>
    <w:basedOn w:val="List4"/>
    <w:rsid w:val="00EB3EE9"/>
    <w:pPr>
      <w:ind w:firstLine="0"/>
    </w:pPr>
  </w:style>
  <w:style w:type="paragraph" w:styleId="ListContinue5">
    <w:name w:val="List Continue 5"/>
    <w:basedOn w:val="List5"/>
    <w:rsid w:val="00EB3EE9"/>
    <w:pPr>
      <w:ind w:firstLine="0"/>
    </w:pPr>
  </w:style>
  <w:style w:type="paragraph" w:styleId="ListNumber3">
    <w:name w:val="List Number 3"/>
    <w:basedOn w:val="List3"/>
    <w:rsid w:val="00EB3EE9"/>
    <w:pPr>
      <w:numPr>
        <w:numId w:val="3"/>
      </w:numPr>
    </w:pPr>
  </w:style>
  <w:style w:type="paragraph" w:styleId="ListNumber4">
    <w:name w:val="List Number 4"/>
    <w:basedOn w:val="List4"/>
    <w:rsid w:val="00EB3EE9"/>
    <w:pPr>
      <w:numPr>
        <w:numId w:val="4"/>
      </w:numPr>
    </w:pPr>
  </w:style>
  <w:style w:type="paragraph" w:styleId="ListNumber5">
    <w:name w:val="List Number 5"/>
    <w:basedOn w:val="List5"/>
    <w:rsid w:val="00EB3EE9"/>
    <w:pPr>
      <w:numPr>
        <w:numId w:val="5"/>
      </w:numPr>
    </w:pPr>
  </w:style>
  <w:style w:type="paragraph" w:styleId="BlockText">
    <w:name w:val="Block Text"/>
    <w:basedOn w:val="Normal"/>
    <w:rsid w:val="00EB3E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3E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3EE9"/>
    <w:rPr>
      <w:sz w:val="16"/>
      <w:vertAlign w:val="superscript"/>
    </w:rPr>
  </w:style>
  <w:style w:type="character" w:customStyle="1" w:styleId="Symbols">
    <w:name w:val="Symbols"/>
    <w:basedOn w:val="DefaultParagraphFont"/>
    <w:rsid w:val="00EB3EE9"/>
    <w:rPr>
      <w:rFonts w:ascii="Symbol" w:hAnsi="Symbol"/>
    </w:rPr>
  </w:style>
  <w:style w:type="character" w:customStyle="1" w:styleId="MenuOptions">
    <w:name w:val="Menu Options"/>
    <w:basedOn w:val="DefaultParagraphFont"/>
    <w:rsid w:val="00EB3E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3EE9"/>
    <w:rPr>
      <w:b/>
    </w:rPr>
  </w:style>
  <w:style w:type="character" w:customStyle="1" w:styleId="Underlined">
    <w:name w:val="Underlined"/>
    <w:basedOn w:val="DefaultParagraphFont"/>
    <w:rsid w:val="00EB3EE9"/>
    <w:rPr>
      <w:u w:val="single"/>
    </w:rPr>
  </w:style>
  <w:style w:type="paragraph" w:customStyle="1" w:styleId="TableBodyTextRight">
    <w:name w:val="Table Body Text Right"/>
    <w:basedOn w:val="TableBodyText"/>
    <w:rsid w:val="00EB3E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3EE9"/>
    <w:rPr>
      <w:sz w:val="18"/>
    </w:rPr>
  </w:style>
  <w:style w:type="paragraph" w:customStyle="1" w:styleId="BodySmallRight">
    <w:name w:val="Body Small Right"/>
    <w:basedOn w:val="BodyTextRight"/>
    <w:rsid w:val="00EB3EE9"/>
    <w:rPr>
      <w:sz w:val="18"/>
      <w:szCs w:val="18"/>
    </w:rPr>
  </w:style>
  <w:style w:type="paragraph" w:customStyle="1" w:styleId="MarginEdition">
    <w:name w:val="Margin Edition"/>
    <w:basedOn w:val="MarginNote"/>
    <w:rsid w:val="00EB3E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3EE9"/>
    <w:rPr>
      <w:sz w:val="2"/>
      <w:szCs w:val="2"/>
    </w:rPr>
  </w:style>
  <w:style w:type="character" w:customStyle="1" w:styleId="Small">
    <w:name w:val="Small"/>
    <w:basedOn w:val="DefaultParagraphFont"/>
    <w:rsid w:val="00EB3EE9"/>
    <w:rPr>
      <w:sz w:val="16"/>
    </w:rPr>
  </w:style>
  <w:style w:type="paragraph" w:customStyle="1" w:styleId="WideTable">
    <w:name w:val="Wide Table"/>
    <w:basedOn w:val="Normal"/>
    <w:rsid w:val="00EB3E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3EE9"/>
  </w:style>
  <w:style w:type="paragraph" w:styleId="Quote">
    <w:name w:val="Quote"/>
    <w:basedOn w:val="Heading1"/>
    <w:link w:val="QuoteChar"/>
    <w:qFormat/>
    <w:rsid w:val="00EB3E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3E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3EE9"/>
    <w:pPr>
      <w:pageBreakBefore/>
    </w:pPr>
  </w:style>
  <w:style w:type="paragraph" w:customStyle="1" w:styleId="Border">
    <w:name w:val="Border"/>
    <w:basedOn w:val="Normal"/>
    <w:qFormat/>
    <w:rsid w:val="00EB3E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3E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3E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3E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3E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3E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3E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3E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3E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3EE9"/>
    <w:rPr>
      <w:u w:val="single"/>
    </w:rPr>
  </w:style>
  <w:style w:type="character" w:customStyle="1" w:styleId="BoldandItalics">
    <w:name w:val="Bold and Italics"/>
    <w:qFormat/>
    <w:rsid w:val="00EB3EE9"/>
    <w:rPr>
      <w:b/>
      <w:i/>
      <w:u w:val="none"/>
    </w:rPr>
  </w:style>
  <w:style w:type="paragraph" w:styleId="BalloonText">
    <w:name w:val="Balloon Text"/>
    <w:basedOn w:val="Normal"/>
    <w:link w:val="BalloonTextChar"/>
    <w:rsid w:val="00EB3E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3E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3E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3E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3E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3E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3EE9"/>
    <w:pPr>
      <w:spacing w:before="0" w:after="0"/>
    </w:pPr>
  </w:style>
  <w:style w:type="paragraph" w:customStyle="1" w:styleId="BodyTextBold">
    <w:name w:val="Body Text Bold"/>
    <w:basedOn w:val="BodyText"/>
    <w:qFormat/>
    <w:rsid w:val="00EB3EE9"/>
    <w:rPr>
      <w:b/>
    </w:rPr>
  </w:style>
  <w:style w:type="character" w:styleId="Hyperlink">
    <w:name w:val="Hyperlink"/>
    <w:basedOn w:val="DefaultParagraphFont"/>
    <w:uiPriority w:val="99"/>
    <w:unhideWhenUsed/>
    <w:rsid w:val="009E68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501</Words>
  <Characters>3183</Characters>
  <Application>Microsoft Office Word</Application>
  <DocSecurity>0</DocSecurity>
  <Lines>144</Lines>
  <Paragraphs>80</Paragraphs>
  <ScaleCrop>false</ScaleCrop>
  <Company>Author-it Software Corporation Ltd.</Company>
  <LinksUpToDate>false</LinksUpToDate>
  <CharactersWithSpaces>3604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TLID3011 Conduct specialised forklift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2024-09-27T00:43:00Z</dcterms:created>
  <dcterms:modified xsi:type="dcterms:W3CDTF">2024-09-27T00:43:00Z</dcterms:modified>
</cp:coreProperties>
</file>