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3EA" w:rsidP="00A20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TLID2045 Operate specialised light load shifting equipment</w:t>
      </w:r>
      <w:r>
        <w:fldChar w:fldCharType="end"/>
      </w:r>
    </w:p>
    <w:p w:rsidR="00A203EA" w:rsidP="00A203EA">
      <w:pPr>
        <w:pStyle w:val="Version"/>
        <w:sectPr w:rsidSect="000B7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75E0" w:rsidP="000B75E0">
      <w:pPr>
        <w:pStyle w:val="SuperHeading"/>
      </w:pPr>
      <w:r w:rsidRPr="000B75E0">
        <w:t>TLID2045 Operate specialised light load shifting equipment</w:t>
      </w:r>
    </w:p>
    <w:p w:rsidR="00000000" w:rsidRPr="000B75E0" w:rsidP="000B75E0">
      <w:pPr>
        <w:pStyle w:val="Heading1"/>
      </w:pPr>
      <w:bookmarkStart w:id="1" w:name="O_1196712"/>
      <w:bookmarkEnd w:id="1"/>
      <w:r w:rsidRPr="000B75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Release 2.</w:t>
            </w:r>
            <w:r w:rsidRPr="000B75E0">
              <w:t xml:space="preserve"> This is the second release of this unit of competency in the TLI Transport and Logistics Training Package.  </w:t>
            </w:r>
          </w:p>
          <w:p w:rsidR="00000000" w:rsidRPr="000B75E0" w:rsidP="000B75E0">
            <w:pPr>
              <w:pStyle w:val="ListBullet2"/>
            </w:pPr>
            <w:r w:rsidRPr="000B75E0">
              <w:t>Minor changes to unit Application</w:t>
            </w:r>
          </w:p>
          <w:p w:rsidR="00000000" w:rsidRPr="000B75E0" w:rsidP="000B75E0">
            <w:pPr>
              <w:pStyle w:val="ListBullet2"/>
            </w:pPr>
            <w:r w:rsidRPr="000B75E0">
              <w:t>Minor changes to Performance Criteria</w:t>
            </w:r>
          </w:p>
          <w:p w:rsidR="00000000" w:rsidRPr="000B75E0" w:rsidP="000B75E0">
            <w:pPr>
              <w:pStyle w:val="ListBullet2"/>
            </w:pPr>
            <w:r w:rsidRPr="000B75E0">
              <w:t>Minor changes to Perform</w:t>
            </w:r>
            <w:r w:rsidRPr="000B75E0">
              <w:t>ance Evidence</w:t>
            </w:r>
          </w:p>
          <w:p w:rsidR="00000000" w:rsidRPr="000B75E0" w:rsidP="000B75E0">
            <w:pPr>
              <w:pStyle w:val="ListBullet2"/>
            </w:pPr>
            <w:r w:rsidRPr="000B75E0">
              <w:t>Minor changes to Knowledge Evidence</w:t>
            </w:r>
          </w:p>
          <w:p w:rsidR="00000000" w:rsidP="000B75E0">
            <w:pPr>
              <w:pStyle w:val="ListBullet2"/>
              <w:rPr>
                <w:lang w:val="en-NZ"/>
              </w:rPr>
            </w:pPr>
            <w:r w:rsidRPr="000B75E0">
              <w:t>Minor changes to Assessment Conditions.</w:t>
            </w:r>
          </w:p>
        </w:tc>
      </w:tr>
      <w:tr w:rsidTr="000B7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Release 1.</w:t>
            </w:r>
            <w:r w:rsidRPr="000B75E0">
              <w:t xml:space="preserve"> This is the first release of this unit of competency in the TLI Transport and Logistics Training Package.</w:t>
            </w:r>
          </w:p>
        </w:tc>
      </w:tr>
    </w:tbl>
    <w:p w:rsidR="00A203EA" w:rsidP="000B75E0">
      <w:pPr>
        <w:pStyle w:val="NoPaddingFontSize1"/>
      </w:pPr>
    </w:p>
    <w:p w:rsidR="00A203EA" w:rsidP="000B75E0">
      <w:pPr>
        <w:pStyle w:val="NoPaddingFontSize1"/>
      </w:pPr>
    </w:p>
    <w:p w:rsidR="00000000" w:rsidRPr="000B75E0" w:rsidP="000B75E0">
      <w:pPr>
        <w:pStyle w:val="Heading1"/>
      </w:pPr>
      <w:bookmarkStart w:id="2" w:name="O_1196711"/>
      <w:bookmarkEnd w:id="2"/>
      <w:r w:rsidRPr="000B75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t>This unit involves the skills and knowledge required to operate specialised light load shifting equipment.</w:t>
            </w:r>
          </w:p>
          <w:p w:rsidR="00000000" w:rsidRPr="000B75E0" w:rsidP="000B75E0">
            <w:pPr>
              <w:pStyle w:val="BodyText"/>
            </w:pPr>
            <w:r w:rsidRPr="000B75E0">
              <w:t>It includes planning work for current working conditions; using controls and equipment operating systems to manage moving a unit and accessory operat</w:t>
            </w:r>
            <w:r w:rsidRPr="000B75E0">
              <w:t>ions; locating load and identifying load characteristics; moving materials and loads; monitoring and operating controls; and stopping, parking and securing equipment after operation in accordance with relevant state and/or territory codes, licence and/or p</w:t>
            </w:r>
            <w:r w:rsidRPr="000B75E0">
              <w:t>ermit and workplace requirements and regulations in the stevedoring, transport, warehousing and/or logistics industries.</w:t>
            </w:r>
          </w:p>
          <w:p w:rsidR="00000000" w:rsidRPr="000B75E0" w:rsidP="000B75E0">
            <w:pPr>
              <w:pStyle w:val="BodyText"/>
            </w:pPr>
            <w:r w:rsidRPr="000B75E0">
              <w:t>Safety checks and equipment tests are performed under limited supervision.</w:t>
            </w:r>
          </w:p>
          <w:p w:rsidR="00000000" w:rsidRPr="000B75E0" w:rsidP="000B75E0">
            <w:pPr>
              <w:pStyle w:val="BodyText"/>
            </w:pPr>
            <w:r w:rsidRPr="000B75E0">
              <w:t>Where the specialised light load shifting equipment operated</w:t>
            </w:r>
            <w:r w:rsidRPr="000B75E0">
              <w:t xml:space="preserve"> is considered to be high-risk work, the operator must hold a high-risk work licence.</w:t>
            </w:r>
          </w:p>
        </w:tc>
      </w:tr>
    </w:tbl>
    <w:p w:rsidR="00A203EA" w:rsidP="000B75E0">
      <w:pPr>
        <w:pStyle w:val="NoPaddingFontSize1"/>
      </w:pPr>
    </w:p>
    <w:p w:rsidR="00A203EA" w:rsidP="000B75E0">
      <w:pPr>
        <w:pStyle w:val="NoPaddingFontSize1"/>
      </w:pPr>
    </w:p>
    <w:p w:rsidR="00000000" w:rsidRPr="000B75E0" w:rsidP="000B75E0">
      <w:pPr>
        <w:pStyle w:val="Heading1"/>
      </w:pPr>
      <w:bookmarkStart w:id="3" w:name="O_1196710"/>
      <w:bookmarkEnd w:id="3"/>
      <w:r w:rsidRPr="000B75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t>Not applicable.</w:t>
            </w:r>
          </w:p>
        </w:tc>
      </w:tr>
    </w:tbl>
    <w:p w:rsidR="00A203EA" w:rsidP="000B75E0">
      <w:pPr>
        <w:pStyle w:val="NoPaddingFontSize1"/>
      </w:pPr>
    </w:p>
    <w:p w:rsidR="00A203EA" w:rsidP="000B75E0">
      <w:pPr>
        <w:pStyle w:val="NoPaddingFontSize1"/>
      </w:pPr>
    </w:p>
    <w:p w:rsidR="00000000" w:rsidRPr="000B75E0" w:rsidP="000B75E0">
      <w:pPr>
        <w:pStyle w:val="Heading1"/>
      </w:pPr>
      <w:bookmarkStart w:id="4" w:name="O_1196709"/>
      <w:bookmarkEnd w:id="4"/>
      <w:r w:rsidRPr="000B75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t>D – Load Handling</w:t>
            </w:r>
          </w:p>
        </w:tc>
      </w:tr>
    </w:tbl>
    <w:p w:rsidR="00A203EA" w:rsidP="000B75E0">
      <w:pPr>
        <w:pStyle w:val="NoPaddingFontSize1"/>
      </w:pPr>
    </w:p>
    <w:p w:rsidR="00A203EA" w:rsidP="000B75E0">
      <w:pPr>
        <w:pStyle w:val="NoPaddingFontSize1"/>
      </w:pPr>
    </w:p>
    <w:p w:rsidR="00000000" w:rsidRPr="000B75E0" w:rsidP="000B75E0">
      <w:pPr>
        <w:pStyle w:val="Heading1"/>
      </w:pPr>
      <w:bookmarkStart w:id="5" w:name="O_1196708"/>
      <w:bookmarkEnd w:id="5"/>
      <w:r w:rsidRPr="000B75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t>Not applicable.</w:t>
            </w:r>
          </w:p>
        </w:tc>
      </w:tr>
    </w:tbl>
    <w:p w:rsidR="00A203EA" w:rsidP="000B75E0">
      <w:pPr>
        <w:pStyle w:val="NoPaddingFontSize1"/>
      </w:pPr>
    </w:p>
    <w:p w:rsidR="00A203EA" w:rsidP="000B75E0">
      <w:pPr>
        <w:pStyle w:val="NoPaddingFontSize1"/>
      </w:pPr>
    </w:p>
    <w:p w:rsidR="00000000" w:rsidRPr="000B75E0" w:rsidP="000B75E0">
      <w:pPr>
        <w:pStyle w:val="Heading1"/>
      </w:pPr>
      <w:bookmarkStart w:id="6" w:name="O_1196707"/>
      <w:bookmarkEnd w:id="6"/>
      <w:r w:rsidRPr="000B75E0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1"/>
        <w:gridCol w:w="2259"/>
        <w:gridCol w:w="458"/>
        <w:gridCol w:w="6382"/>
      </w:tblGrid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ELEMENTS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PERFORMANCE CRITERIA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Elements describe the essential outcomes.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Performance criteria describe the performance needed to demonstrate achievement of the element.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1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Plan work</w:t>
            </w:r>
            <w:r w:rsidRPr="000B75E0">
              <w:rPr>
                <w:rStyle w:val="SpecialBold"/>
              </w:rPr>
              <w:t xml:space="preserve"> for current working conditions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1.1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Traffic flow and work area conditions are constantly assessed and anticipated to ensure no injury to people or damage to equipment, loads or facilities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1.2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Load characteristics are taken into account to ensure appropr</w:t>
            </w:r>
            <w:r w:rsidRPr="000B75E0">
              <w:t>iate attachments are used to transport load, as required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1.3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Hazards are identified, risks are assessed, and control measures are implemented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1.4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Occurrences in work area that affect safety and efficiency of operations are reported to appropriate personnel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2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Use controls and equipment operating systems to manage moving unit and accessory operations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2.1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 xml:space="preserve">Light load shifting equipment is prepared and </w:t>
            </w:r>
            <w:r w:rsidRPr="000B75E0">
              <w:t>appropriate attachment is fitted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2.2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Gear and operational levers are checked to ensure they are in neutral position prior to inserting ignition key and starting engine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2.3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Engine is started in accordance with manufacturer guidelines to bring engine up to speed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2.4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Instruments and gauges are monitored during start-up and operations to ensure operation is within manufacturer specifications and workplace safety requirements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2.5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Engine power is managed to ensure efficiency of equipment movement and economy of equipment operations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2.6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Equipment operations are conducted in accordance with manufacturer specified torque range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2.7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Faults or damage to equipment are immediately reported to appropriate personnel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3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Locate load and identify load characteristics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3.1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Load is located and identified in accordance with instructions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3.2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Loading and unloading plans are followed to ensure efficiency and safety of operations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3.3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Load characteristics are taken into account to ensure appropriate loading and unloading procedures are followed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3.4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Hazardous goods are identified, and relevan</w:t>
            </w:r>
            <w:r w:rsidRPr="000B75E0">
              <w:t>t procedures are taken into account when planning and conducting work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3.5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 xml:space="preserve">Load weight and dimensions are established within equipment capacity 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4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Move materials and loads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4.1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Light load shifting equipment is manoeuvred and positioned using smooth and controlled movements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4.2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Manoeuvres are made within equipment limits and in accordance with manufacturer specifications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4.3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Materials are moved ensuring no injury to personnel or damage to equipment or goods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5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Monitor and operate controls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5.1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Light load shifting equipment controls are monitored and operated in accordance with manufacturer instructions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5.2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Control systems ar</w:t>
            </w:r>
            <w:r w:rsidRPr="000B75E0">
              <w:t>e interpreted and acted on in accordance with statutory authority regulations, manufacturer guidelines and workplace procedures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5.3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 xml:space="preserve">Control faults are identified and reported in accordance with manufacturer instructions and workplace procedures 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6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rPr>
                <w:rStyle w:val="SpecialBold"/>
              </w:rPr>
              <w:t>Stop, park and secure light load shifting equipment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6.1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Light load shifting equipment is brought to a controlled halt in accordance with manufacturer guidelines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6.2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t>Light load shifting equipment is parked without injury to personnel or damage to equipme</w:t>
            </w:r>
            <w:r w:rsidRPr="000B75E0">
              <w:t>nt, loads or facilities in accordance with workplace procedures</w:t>
            </w:r>
          </w:p>
        </w:tc>
      </w:tr>
      <w:tr w:rsidTr="000B75E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>
            <w:pPr>
              <w:pStyle w:val="BodyText"/>
              <w:keepLines w:val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E0">
            <w:pPr>
              <w:pStyle w:val="BodyText"/>
              <w:rPr>
                <w:lang w:val="en-NZ"/>
              </w:rPr>
            </w:pPr>
            <w:r w:rsidRPr="000B75E0">
              <w:rPr>
                <w:rStyle w:val="SpecialBold"/>
              </w:rPr>
              <w:t>6.3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t xml:space="preserve">Light load shifting equipment is secured on a flat, even surface, clear of doorways, aisles, access ways or blind corners in accordance with securing </w:t>
            </w:r>
            <w:r w:rsidRPr="000B75E0">
              <w:t>procedures for appropriate equipment</w:t>
            </w:r>
          </w:p>
        </w:tc>
      </w:tr>
    </w:tbl>
    <w:p w:rsidR="00A203EA" w:rsidP="000B75E0">
      <w:pPr>
        <w:pStyle w:val="NoPaddingFontSize1"/>
      </w:pPr>
    </w:p>
    <w:p w:rsidR="00A203EA" w:rsidP="000B75E0">
      <w:pPr>
        <w:pStyle w:val="NoPaddingFontSize1"/>
      </w:pPr>
    </w:p>
    <w:p w:rsidR="00000000" w:rsidRPr="000B75E0" w:rsidP="000B75E0">
      <w:pPr>
        <w:pStyle w:val="Heading1"/>
      </w:pPr>
      <w:bookmarkStart w:id="7" w:name="O_1196706"/>
      <w:bookmarkEnd w:id="7"/>
      <w:r w:rsidRPr="000B75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t>Foundation skills essential to performance are explicit in the performance criteria of this unit of competency.</w:t>
            </w:r>
          </w:p>
        </w:tc>
      </w:tr>
    </w:tbl>
    <w:p w:rsidR="00A203EA" w:rsidP="000B75E0">
      <w:pPr>
        <w:pStyle w:val="NoPaddingFontSize1"/>
      </w:pPr>
    </w:p>
    <w:p w:rsidR="00A203EA" w:rsidP="000B75E0">
      <w:pPr>
        <w:pStyle w:val="NoPaddingFontSize1"/>
      </w:pPr>
    </w:p>
    <w:p w:rsidR="00000000" w:rsidRPr="000B75E0" w:rsidP="000B75E0">
      <w:pPr>
        <w:pStyle w:val="Heading1"/>
      </w:pPr>
      <w:bookmarkStart w:id="8" w:name="O_1196705"/>
      <w:bookmarkEnd w:id="8"/>
      <w:r w:rsidRPr="000B75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t>Range is restricted to essential operating conditions and any other variables essential to the work environment.</w:t>
            </w:r>
          </w:p>
          <w:p w:rsidR="00000000" w:rsidRPr="000B75E0" w:rsidP="000B75E0">
            <w:pPr>
              <w:pStyle w:val="BodyText"/>
            </w:pPr>
            <w:r w:rsidRPr="000B75E0">
              <w:t>Non-essential conditions can be found in the TLI Transport and Logistics Training Package Companion Volume Implementation Guide.</w:t>
            </w:r>
          </w:p>
        </w:tc>
      </w:tr>
    </w:tbl>
    <w:p w:rsidR="00A203EA" w:rsidP="000B75E0">
      <w:pPr>
        <w:pStyle w:val="NoPaddingFontSize1"/>
      </w:pPr>
    </w:p>
    <w:p w:rsidR="00A203EA" w:rsidP="000B75E0">
      <w:pPr>
        <w:pStyle w:val="NoPaddingFontSize1"/>
      </w:pPr>
    </w:p>
    <w:p w:rsidR="00000000" w:rsidRPr="000B75E0" w:rsidP="000B75E0">
      <w:pPr>
        <w:pStyle w:val="Heading1"/>
      </w:pPr>
      <w:bookmarkStart w:id="9" w:name="O_1196704"/>
      <w:bookmarkEnd w:id="9"/>
      <w:r w:rsidRPr="000B75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E0" w:rsidP="000B75E0">
            <w:pPr>
              <w:pStyle w:val="BodyText"/>
            </w:pPr>
            <w:r w:rsidRPr="000B75E0">
              <w:t>This unit replaces and is equivalent to TLID2045A Operate specialised light load shifting equipment.</w:t>
            </w:r>
          </w:p>
        </w:tc>
      </w:tr>
    </w:tbl>
    <w:p w:rsidR="00A203EA" w:rsidP="000B75E0">
      <w:pPr>
        <w:pStyle w:val="NoPaddingFontSize1"/>
      </w:pPr>
    </w:p>
    <w:p w:rsidR="00A203EA" w:rsidP="000B75E0">
      <w:pPr>
        <w:pStyle w:val="NoPaddingFontSize1"/>
      </w:pPr>
    </w:p>
    <w:p w:rsidR="00000000" w:rsidRPr="000B75E0" w:rsidP="000B75E0">
      <w:pPr>
        <w:pStyle w:val="Heading1"/>
      </w:pPr>
      <w:bookmarkStart w:id="10" w:name="O_1196713"/>
      <w:bookmarkEnd w:id="10"/>
      <w:r w:rsidRPr="000B75E0">
        <w:t>Links</w:t>
      </w:r>
    </w:p>
    <w:p w:rsidR="00000000" w:rsidRPr="000B75E0" w:rsidP="00A203EA">
      <w:pPr>
        <w:pStyle w:val="BodyText"/>
      </w:pPr>
      <w:r w:rsidRPr="000B75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5191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B75E0" w:rsidP="000B75E0"/>
    <w:sectPr w:rsidSect="000B7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E0" w:rsidRPr="00A203EA" w:rsidP="00A20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EA" w:rsidP="000B7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3EA" w:rsidP="000B7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203EA" w:rsidP="000B7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5E0" w:rsidRPr="00A203EA" w:rsidP="00A20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EA" w:rsidRPr="002D2AF8" w:rsidP="000B7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TLID2045 Operate specialised light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203EA" w:rsidP="000B7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1CB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2C1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5E0"/>
  </w:style>
  <w:style w:type="character" w:customStyle="1" w:styleId="Heading1Char">
    <w:name w:val="Heading 1 Char"/>
    <w:basedOn w:val="DefaultParagraphFont"/>
    <w:link w:val="Heading1"/>
    <w:rsid w:val="000B7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5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75E0"/>
    <w:rPr>
      <w:b/>
      <w:spacing w:val="0"/>
    </w:rPr>
  </w:style>
  <w:style w:type="paragraph" w:styleId="ListBullet2">
    <w:name w:val="List Bullet 2"/>
    <w:basedOn w:val="List2"/>
    <w:rsid w:val="000B75E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7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7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5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75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7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5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5E0"/>
    <w:rPr>
      <w:i/>
    </w:rPr>
  </w:style>
  <w:style w:type="paragraph" w:styleId="Caption">
    <w:name w:val="caption"/>
    <w:basedOn w:val="BodyText"/>
    <w:next w:val="Normal"/>
    <w:qFormat/>
    <w:rsid w:val="000B7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5E0"/>
  </w:style>
  <w:style w:type="paragraph" w:styleId="TableofFigures">
    <w:name w:val="table of figures"/>
    <w:basedOn w:val="Normal"/>
    <w:next w:val="Normal"/>
    <w:semiHidden/>
    <w:rsid w:val="000B7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5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75E0"/>
    <w:rPr>
      <w:rFonts w:ascii="Wingdings" w:hAnsi="Wingdings"/>
    </w:rPr>
  </w:style>
  <w:style w:type="paragraph" w:customStyle="1" w:styleId="TableHeading">
    <w:name w:val="Table Heading"/>
    <w:basedOn w:val="HeadingBase"/>
    <w:rsid w:val="000B7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5E0"/>
    <w:rPr>
      <w:color w:val="0033CC"/>
      <w:u w:val="none"/>
    </w:rPr>
  </w:style>
  <w:style w:type="paragraph" w:customStyle="1" w:styleId="BodyTextRight">
    <w:name w:val="Body Text Right"/>
    <w:basedOn w:val="BodyText"/>
    <w:rsid w:val="000B7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5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5E0"/>
    <w:rPr>
      <w:sz w:val="32"/>
    </w:rPr>
  </w:style>
  <w:style w:type="paragraph" w:customStyle="1" w:styleId="HeadingProcedure">
    <w:name w:val="Heading Procedure"/>
    <w:basedOn w:val="HeadingBase"/>
    <w:next w:val="Normal"/>
    <w:rsid w:val="000B7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5E0"/>
    <w:pPr>
      <w:spacing w:before="60" w:after="60"/>
    </w:pPr>
  </w:style>
  <w:style w:type="paragraph" w:styleId="ListContinue">
    <w:name w:val="List Continue"/>
    <w:basedOn w:val="List"/>
    <w:rsid w:val="000B75E0"/>
    <w:pPr>
      <w:ind w:firstLine="0"/>
    </w:pPr>
  </w:style>
  <w:style w:type="paragraph" w:customStyle="1" w:styleId="ListNote">
    <w:name w:val="List Note"/>
    <w:basedOn w:val="List"/>
    <w:rsid w:val="000B7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5E0"/>
    <w:rPr>
      <w:rFonts w:ascii="Courier New" w:hAnsi="Courier New"/>
    </w:rPr>
  </w:style>
  <w:style w:type="paragraph" w:customStyle="1" w:styleId="NoteBullet">
    <w:name w:val="Note Bullet"/>
    <w:basedOn w:val="Note"/>
    <w:rsid w:val="000B7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5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7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5E0"/>
    <w:rPr>
      <w:b/>
      <w:smallCaps/>
    </w:rPr>
  </w:style>
  <w:style w:type="paragraph" w:customStyle="1" w:styleId="TableListNumber">
    <w:name w:val="Table List Number"/>
    <w:basedOn w:val="ListNumber"/>
    <w:rsid w:val="000B7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5E0"/>
    <w:pPr>
      <w:numPr>
        <w:numId w:val="8"/>
      </w:numPr>
    </w:pPr>
  </w:style>
  <w:style w:type="paragraph" w:customStyle="1" w:styleId="ListAlpha2">
    <w:name w:val="List Alpha 2"/>
    <w:basedOn w:val="List2"/>
    <w:rsid w:val="000B75E0"/>
    <w:pPr>
      <w:numPr>
        <w:numId w:val="7"/>
      </w:numPr>
    </w:pPr>
  </w:style>
  <w:style w:type="paragraph" w:styleId="List2">
    <w:name w:val="List 2"/>
    <w:basedOn w:val="BodyText"/>
    <w:rsid w:val="000B7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5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5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75E0"/>
    <w:pPr>
      <w:numPr>
        <w:numId w:val="3"/>
      </w:numPr>
    </w:pPr>
  </w:style>
  <w:style w:type="paragraph" w:styleId="ListContinue2">
    <w:name w:val="List Continue 2"/>
    <w:basedOn w:val="List2"/>
    <w:rsid w:val="000B75E0"/>
    <w:pPr>
      <w:ind w:firstLine="0"/>
    </w:pPr>
  </w:style>
  <w:style w:type="paragraph" w:styleId="ListContinue3">
    <w:name w:val="List Continue 3"/>
    <w:basedOn w:val="List3"/>
    <w:rsid w:val="000B75E0"/>
    <w:pPr>
      <w:ind w:left="1021" w:firstLine="0"/>
    </w:pPr>
  </w:style>
  <w:style w:type="paragraph" w:styleId="ListContinue4">
    <w:name w:val="List Continue 4"/>
    <w:basedOn w:val="List4"/>
    <w:rsid w:val="000B75E0"/>
    <w:pPr>
      <w:ind w:firstLine="0"/>
    </w:pPr>
  </w:style>
  <w:style w:type="paragraph" w:styleId="ListContinue5">
    <w:name w:val="List Continue 5"/>
    <w:basedOn w:val="List5"/>
    <w:rsid w:val="000B75E0"/>
    <w:pPr>
      <w:ind w:firstLine="0"/>
    </w:pPr>
  </w:style>
  <w:style w:type="paragraph" w:styleId="ListNumber3">
    <w:name w:val="List Number 3"/>
    <w:basedOn w:val="List3"/>
    <w:rsid w:val="000B75E0"/>
    <w:pPr>
      <w:numPr>
        <w:numId w:val="4"/>
      </w:numPr>
    </w:pPr>
  </w:style>
  <w:style w:type="paragraph" w:styleId="ListNumber4">
    <w:name w:val="List Number 4"/>
    <w:basedOn w:val="List4"/>
    <w:rsid w:val="000B75E0"/>
    <w:pPr>
      <w:numPr>
        <w:numId w:val="5"/>
      </w:numPr>
    </w:pPr>
  </w:style>
  <w:style w:type="paragraph" w:styleId="ListNumber5">
    <w:name w:val="List Number 5"/>
    <w:basedOn w:val="List5"/>
    <w:rsid w:val="000B75E0"/>
    <w:pPr>
      <w:numPr>
        <w:numId w:val="6"/>
      </w:numPr>
    </w:pPr>
  </w:style>
  <w:style w:type="paragraph" w:styleId="BlockText">
    <w:name w:val="Block Text"/>
    <w:basedOn w:val="Normal"/>
    <w:rsid w:val="000B7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5E0"/>
    <w:rPr>
      <w:sz w:val="16"/>
      <w:vertAlign w:val="superscript"/>
    </w:rPr>
  </w:style>
  <w:style w:type="character" w:customStyle="1" w:styleId="Symbols">
    <w:name w:val="Symbols"/>
    <w:basedOn w:val="DefaultParagraphFont"/>
    <w:rsid w:val="000B75E0"/>
    <w:rPr>
      <w:rFonts w:ascii="Symbol" w:hAnsi="Symbol"/>
    </w:rPr>
  </w:style>
  <w:style w:type="character" w:customStyle="1" w:styleId="MenuOptions">
    <w:name w:val="Menu Options"/>
    <w:basedOn w:val="DefaultParagraphFont"/>
    <w:rsid w:val="000B7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5E0"/>
    <w:rPr>
      <w:b/>
    </w:rPr>
  </w:style>
  <w:style w:type="character" w:customStyle="1" w:styleId="Underlined">
    <w:name w:val="Underlined"/>
    <w:basedOn w:val="DefaultParagraphFont"/>
    <w:rsid w:val="000B75E0"/>
    <w:rPr>
      <w:u w:val="single"/>
    </w:rPr>
  </w:style>
  <w:style w:type="paragraph" w:customStyle="1" w:styleId="TableBodyTextRight">
    <w:name w:val="Table Body Text Right"/>
    <w:basedOn w:val="TableBodyText"/>
    <w:rsid w:val="000B7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5E0"/>
    <w:rPr>
      <w:sz w:val="18"/>
    </w:rPr>
  </w:style>
  <w:style w:type="paragraph" w:customStyle="1" w:styleId="BodySmallRight">
    <w:name w:val="Body Small Right"/>
    <w:basedOn w:val="BodyTextRight"/>
    <w:rsid w:val="000B75E0"/>
    <w:rPr>
      <w:sz w:val="18"/>
      <w:szCs w:val="18"/>
    </w:rPr>
  </w:style>
  <w:style w:type="paragraph" w:customStyle="1" w:styleId="MarginEdition">
    <w:name w:val="Margin Edition"/>
    <w:basedOn w:val="MarginNote"/>
    <w:rsid w:val="000B7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5E0"/>
    <w:rPr>
      <w:sz w:val="2"/>
      <w:szCs w:val="2"/>
    </w:rPr>
  </w:style>
  <w:style w:type="character" w:customStyle="1" w:styleId="Small">
    <w:name w:val="Small"/>
    <w:basedOn w:val="DefaultParagraphFont"/>
    <w:rsid w:val="000B75E0"/>
    <w:rPr>
      <w:sz w:val="16"/>
    </w:rPr>
  </w:style>
  <w:style w:type="paragraph" w:customStyle="1" w:styleId="WideTable">
    <w:name w:val="Wide Table"/>
    <w:basedOn w:val="Normal"/>
    <w:rsid w:val="000B7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5E0"/>
  </w:style>
  <w:style w:type="paragraph" w:styleId="Quote">
    <w:name w:val="Quote"/>
    <w:basedOn w:val="Heading1"/>
    <w:link w:val="QuoteChar"/>
    <w:qFormat/>
    <w:rsid w:val="000B7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5E0"/>
    <w:pPr>
      <w:pageBreakBefore/>
    </w:pPr>
  </w:style>
  <w:style w:type="paragraph" w:customStyle="1" w:styleId="Border">
    <w:name w:val="Border"/>
    <w:basedOn w:val="Normal"/>
    <w:qFormat/>
    <w:rsid w:val="000B7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5E0"/>
    <w:rPr>
      <w:u w:val="single"/>
    </w:rPr>
  </w:style>
  <w:style w:type="character" w:customStyle="1" w:styleId="BoldandItalics">
    <w:name w:val="Bold and Italics"/>
    <w:qFormat/>
    <w:rsid w:val="000B75E0"/>
    <w:rPr>
      <w:b/>
      <w:i/>
      <w:u w:val="none"/>
    </w:rPr>
  </w:style>
  <w:style w:type="paragraph" w:styleId="BalloonText">
    <w:name w:val="Balloon Text"/>
    <w:basedOn w:val="Normal"/>
    <w:link w:val="BalloonTextChar"/>
    <w:rsid w:val="000B7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5E0"/>
    <w:pPr>
      <w:spacing w:before="0" w:after="0"/>
    </w:pPr>
  </w:style>
  <w:style w:type="paragraph" w:customStyle="1" w:styleId="BodyTextBold">
    <w:name w:val="Body Text Bold"/>
    <w:basedOn w:val="BodyText"/>
    <w:qFormat/>
    <w:rsid w:val="000B75E0"/>
    <w:rPr>
      <w:b/>
    </w:rPr>
  </w:style>
  <w:style w:type="character" w:styleId="Hyperlink">
    <w:name w:val="Hyperlink"/>
    <w:basedOn w:val="DefaultParagraphFont"/>
    <w:uiPriority w:val="99"/>
    <w:unhideWhenUsed/>
    <w:rsid w:val="00A20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4990</Characters>
  <Application>Microsoft Office Word</Application>
  <DocSecurity>0</DocSecurity>
  <Lines>226</Lines>
  <Paragraphs>118</Paragraphs>
  <ScaleCrop>false</ScaleCrop>
  <Company>Author-it Software Corporation Ltd.</Company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TLID2045 Operate specialised light load shifting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