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BC0" w:rsidP="00621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TLID2045 Operate specialised light load shifting equipment</w:t>
      </w:r>
      <w:r>
        <w:fldChar w:fldCharType="end"/>
      </w:r>
    </w:p>
    <w:p w:rsidR="00621BC0" w:rsidP="00621BC0">
      <w:pPr>
        <w:pStyle w:val="Version"/>
        <w:sectPr w:rsidSect="00754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4482" w:rsidP="00754482">
      <w:pPr>
        <w:pStyle w:val="SuperHeading"/>
      </w:pPr>
      <w:r w:rsidRPr="00754482">
        <w:t>Assessment Requirements for TLID2045 Operate specialised light load shifting equipment</w:t>
      </w:r>
    </w:p>
    <w:p w:rsidR="00000000" w:rsidRPr="00754482" w:rsidP="00754482">
      <w:pPr>
        <w:pStyle w:val="Heading1"/>
      </w:pPr>
      <w:bookmarkStart w:id="1" w:name="O_1196702"/>
      <w:bookmarkEnd w:id="1"/>
      <w:r w:rsidRPr="007544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82" w:rsidP="00754482">
            <w:pPr>
              <w:pStyle w:val="BodyText"/>
            </w:pPr>
            <w:r w:rsidRPr="00754482">
              <w:rPr>
                <w:rStyle w:val="SpecialBold"/>
              </w:rPr>
              <w:t>Release 2.</w:t>
            </w:r>
            <w:r w:rsidRPr="00754482">
              <w:t xml:space="preserve"> This is the second release of this unit of competency in the TLI Transport and Logistics Training Package.  </w:t>
            </w:r>
          </w:p>
          <w:p w:rsidR="00000000" w:rsidRPr="00754482" w:rsidP="00754482">
            <w:pPr>
              <w:pStyle w:val="ListBullet2"/>
            </w:pPr>
            <w:r w:rsidRPr="00754482">
              <w:t>Minor changes to unit Application</w:t>
            </w:r>
          </w:p>
          <w:p w:rsidR="00000000" w:rsidRPr="00754482" w:rsidP="00754482">
            <w:pPr>
              <w:pStyle w:val="ListBullet2"/>
            </w:pPr>
            <w:r w:rsidRPr="00754482">
              <w:t>Minor changes to Performance Criteria</w:t>
            </w:r>
          </w:p>
          <w:p w:rsidR="00000000" w:rsidRPr="00754482" w:rsidP="00754482">
            <w:pPr>
              <w:pStyle w:val="ListBullet2"/>
            </w:pPr>
            <w:r w:rsidRPr="00754482">
              <w:t>Minor changes to Performance Evidence</w:t>
            </w:r>
          </w:p>
          <w:p w:rsidR="00000000" w:rsidRPr="00754482" w:rsidP="00754482">
            <w:pPr>
              <w:pStyle w:val="ListBullet2"/>
            </w:pPr>
            <w:r w:rsidRPr="00754482">
              <w:t>Minor changes to Knowledge Evidence</w:t>
            </w:r>
          </w:p>
          <w:p w:rsidR="00000000" w:rsidP="00754482">
            <w:pPr>
              <w:pStyle w:val="ListBullet2"/>
              <w:rPr>
                <w:lang w:val="en-NZ"/>
              </w:rPr>
            </w:pPr>
            <w:r w:rsidRPr="00754482">
              <w:t>Minor changes to Assessment Conditions.</w:t>
            </w:r>
          </w:p>
        </w:tc>
      </w:tr>
      <w:tr w:rsidTr="0075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82" w:rsidP="00754482">
            <w:pPr>
              <w:pStyle w:val="BodyText"/>
            </w:pPr>
            <w:r w:rsidRPr="00754482">
              <w:rPr>
                <w:rStyle w:val="SpecialBold"/>
              </w:rPr>
              <w:t>Release 1.</w:t>
            </w:r>
            <w:r w:rsidRPr="00754482">
              <w:t xml:space="preserve"> This is the first release of this unit of competency in th</w:t>
            </w:r>
            <w:r w:rsidRPr="00754482">
              <w:t>e TLI Transport and Logistics Training Package.</w:t>
            </w:r>
          </w:p>
        </w:tc>
      </w:tr>
    </w:tbl>
    <w:p w:rsidR="00621BC0" w:rsidP="00754482">
      <w:pPr>
        <w:pStyle w:val="NoPaddingFontSize1"/>
      </w:pPr>
    </w:p>
    <w:p w:rsidR="00621BC0" w:rsidP="00754482">
      <w:pPr>
        <w:pStyle w:val="NoPaddingFontSize1"/>
      </w:pPr>
    </w:p>
    <w:p w:rsidR="00000000" w:rsidRPr="00754482" w:rsidP="00754482">
      <w:pPr>
        <w:pStyle w:val="Heading1"/>
      </w:pPr>
      <w:bookmarkStart w:id="2" w:name="O_1196701"/>
      <w:bookmarkEnd w:id="2"/>
      <w:r w:rsidRPr="007544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82">
            <w:pPr>
              <w:pStyle w:val="BodyText"/>
              <w:rPr>
                <w:lang w:val="en-NZ"/>
              </w:rPr>
            </w:pPr>
            <w:r w:rsidRPr="00754482">
              <w:t xml:space="preserve">Evidence required to demonstrate competence in this unit must be relevant to and satisfy all the requirements of the elements, performance criteria </w:t>
            </w:r>
            <w:r w:rsidRPr="00754482">
              <w:t>on at least one occasion and include:</w:t>
            </w:r>
          </w:p>
        </w:tc>
      </w:tr>
      <w:tr w:rsidTr="0075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82" w:rsidP="00754482">
            <w:pPr>
              <w:pStyle w:val="ListBullet"/>
            </w:pPr>
            <w:r w:rsidRPr="00754482">
              <w:t>applying precautions and required action to minimise, control or eliminate identified hazards</w:t>
            </w:r>
          </w:p>
          <w:p w:rsidR="00000000" w:rsidRPr="00754482" w:rsidP="00754482">
            <w:pPr>
              <w:pStyle w:val="ListBullet"/>
            </w:pPr>
            <w:r w:rsidRPr="00754482">
              <w:t>applying relevant legislation and workplace procedures</w:t>
            </w:r>
          </w:p>
          <w:p w:rsidR="00000000" w:rsidRPr="00754482" w:rsidP="00754482">
            <w:pPr>
              <w:pStyle w:val="ListBullet"/>
            </w:pPr>
            <w:r w:rsidRPr="00754482">
              <w:t>communicating effectively with others</w:t>
            </w:r>
          </w:p>
          <w:p w:rsidR="00000000" w:rsidRPr="00754482" w:rsidP="00754482">
            <w:pPr>
              <w:pStyle w:val="ListBullet"/>
            </w:pPr>
            <w:r w:rsidRPr="00754482">
              <w:t>completing relevant documenta</w:t>
            </w:r>
            <w:r w:rsidRPr="00754482">
              <w:t>tion</w:t>
            </w:r>
          </w:p>
          <w:p w:rsidR="00000000" w:rsidRPr="00754482" w:rsidP="00754482">
            <w:pPr>
              <w:pStyle w:val="ListBullet"/>
            </w:pPr>
            <w:r w:rsidRPr="00754482">
              <w:t>implementing contingency plans</w:t>
            </w:r>
          </w:p>
          <w:p w:rsidR="00000000" w:rsidRPr="00754482" w:rsidP="00754482">
            <w:pPr>
              <w:pStyle w:val="ListBullet"/>
            </w:pPr>
            <w:r w:rsidRPr="00754482">
              <w:t>modifying activities depending on operational contingencies, risk situations and environments</w:t>
            </w:r>
          </w:p>
          <w:p w:rsidR="00000000" w:rsidRPr="00754482" w:rsidP="00754482">
            <w:pPr>
              <w:pStyle w:val="ListBullet"/>
            </w:pPr>
            <w:r w:rsidRPr="00754482">
              <w:t>monitoring and prioritising work activities in terms of planned schedule, predicting consequences and identifying improvements</w:t>
            </w:r>
          </w:p>
          <w:p w:rsidR="00000000" w:rsidRPr="00754482" w:rsidP="00754482">
            <w:pPr>
              <w:pStyle w:val="ListBullet"/>
            </w:pPr>
            <w:r w:rsidRPr="00754482">
              <w:t>monitoring performance of equipment and taking appropriate actions, as required</w:t>
            </w:r>
          </w:p>
          <w:p w:rsidR="00000000" w:rsidRPr="00754482" w:rsidP="00754482">
            <w:pPr>
              <w:pStyle w:val="ListBullet"/>
            </w:pPr>
            <w:r w:rsidRPr="00754482">
              <w:t>operating and adapting to differences in equipment in accordance with operating procedures</w:t>
            </w:r>
          </w:p>
          <w:p w:rsidR="00000000" w:rsidRPr="00754482" w:rsidP="00754482">
            <w:pPr>
              <w:pStyle w:val="ListBullet"/>
            </w:pPr>
            <w:r w:rsidRPr="00754482">
              <w:t>operating electronic communications equipment to required protocol</w:t>
            </w:r>
          </w:p>
          <w:p w:rsidR="00000000" w:rsidRPr="00754482" w:rsidP="00754482">
            <w:pPr>
              <w:pStyle w:val="ListBullet"/>
            </w:pPr>
            <w:r w:rsidRPr="00754482">
              <w:t>reading, interpre</w:t>
            </w:r>
            <w:r w:rsidRPr="00754482">
              <w:t>ting and following relevant instructions, procedures, information and signs</w:t>
            </w:r>
          </w:p>
          <w:p w:rsidR="00000000" w:rsidRPr="00754482" w:rsidP="00754482">
            <w:pPr>
              <w:pStyle w:val="ListBullet"/>
            </w:pPr>
            <w:r w:rsidRPr="00754482">
              <w:t>reporting and/or rectifying identified problems, faults or malfunctions promptly in accordance with regulatory requirements and workplace procedures</w:t>
            </w:r>
          </w:p>
          <w:p w:rsidR="00000000" w:rsidRPr="00754482" w:rsidP="00754482">
            <w:pPr>
              <w:pStyle w:val="ListBullet"/>
            </w:pPr>
            <w:r w:rsidRPr="00754482">
              <w:t>selecting and using relevant gear and accessories when operating specialised light load shifting equipment</w:t>
            </w:r>
          </w:p>
          <w:p w:rsidR="00000000" w:rsidRPr="00754482" w:rsidP="00754482">
            <w:pPr>
              <w:pStyle w:val="ListBullet"/>
            </w:pPr>
            <w:r w:rsidRPr="00754482">
              <w:t>selecting and using required personal protective equipment (PPE) conforming to industry and work health and safety (WHS)/occupational health and safe</w:t>
            </w:r>
            <w:r w:rsidRPr="00754482">
              <w:t>ty (OHS) standards</w:t>
            </w:r>
          </w:p>
          <w:p w:rsidR="00000000" w:rsidRPr="00754482" w:rsidP="00754482">
            <w:pPr>
              <w:pStyle w:val="ListBullet"/>
            </w:pPr>
            <w:r w:rsidRPr="00754482">
              <w:t>servicing equipment in terms of maintenance schedule and workplace procedures</w:t>
            </w:r>
          </w:p>
          <w:p w:rsidR="00000000" w:rsidRPr="00754482" w:rsidP="00754482">
            <w:pPr>
              <w:pStyle w:val="ListBullet"/>
            </w:pPr>
            <w:r w:rsidRPr="00754482">
              <w:t>working systematically with required attention to detail without injury to self or others, or damage to goods or equipment.</w:t>
            </w:r>
          </w:p>
        </w:tc>
      </w:tr>
    </w:tbl>
    <w:p w:rsidR="00000000" w:rsidRPr="00754482" w:rsidP="00754482">
      <w:pPr>
        <w:pStyle w:val="NoPaddingFontSize1"/>
      </w:pPr>
    </w:p>
    <w:p w:rsidR="00000000" w:rsidRPr="00754482" w:rsidP="00754482">
      <w:pPr>
        <w:pStyle w:val="AllowPageBreak"/>
      </w:pPr>
    </w:p>
    <w:p w:rsidR="00000000" w:rsidRPr="00754482" w:rsidP="00754482">
      <w:pPr>
        <w:pStyle w:val="Heading1"/>
      </w:pPr>
      <w:bookmarkStart w:id="3" w:name="O_1196700"/>
      <w:bookmarkEnd w:id="3"/>
      <w:r w:rsidRPr="00754482">
        <w:t>Knowledge Evid</w:t>
      </w:r>
      <w:r w:rsidRPr="00754482">
        <w:t>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82">
            <w:pPr>
              <w:pStyle w:val="BodyText"/>
              <w:rPr>
                <w:lang w:val="en-NZ"/>
              </w:rPr>
            </w:pPr>
            <w:r w:rsidRPr="00754482">
              <w:t>Evidence required to demonstrate competence in this unit must be relevant to and satisfy all the requirements of the elements, performance criteria and include knowledge of:</w:t>
            </w:r>
          </w:p>
        </w:tc>
      </w:tr>
      <w:tr w:rsidTr="0075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82" w:rsidP="00754482">
            <w:pPr>
              <w:pStyle w:val="ListBullet"/>
            </w:pPr>
            <w:r w:rsidRPr="00754482">
              <w:t>conveyed material potential for toxicity, reactiveness, material grade, type and purpose, including information from relevant safety data sheets (SDS)/material safety data sheets (MSDS) and current hazardous or dangerous goods regulation documentation requ</w:t>
            </w:r>
            <w:r w:rsidRPr="00754482">
              <w:t>irements</w:t>
            </w:r>
          </w:p>
          <w:p w:rsidR="00000000" w:rsidRPr="00754482" w:rsidP="00754482">
            <w:pPr>
              <w:pStyle w:val="ListBullet"/>
            </w:pPr>
            <w:r w:rsidRPr="00754482">
              <w:t>documentation, record requirements and housekeeping procedures, including:</w:t>
            </w:r>
          </w:p>
          <w:p w:rsidR="00000000" w:rsidRPr="00754482" w:rsidP="00754482">
            <w:pPr>
              <w:pStyle w:val="ListBullet2"/>
            </w:pPr>
            <w:r w:rsidRPr="00754482">
              <w:t>relevant permit and licence requirements</w:t>
            </w:r>
          </w:p>
          <w:p w:rsidR="00000000" w:rsidRPr="00754482" w:rsidP="00754482">
            <w:pPr>
              <w:pStyle w:val="ListBullet2"/>
            </w:pPr>
            <w:r w:rsidRPr="00754482">
              <w:t>site layout and obstacles</w:t>
            </w:r>
          </w:p>
          <w:p w:rsidR="00000000" w:rsidRPr="00754482" w:rsidP="00754482">
            <w:pPr>
              <w:pStyle w:val="ListBullet"/>
            </w:pPr>
            <w:r w:rsidRPr="00754482">
              <w:t>manufacturer specifications and guidelines</w:t>
            </w:r>
          </w:p>
          <w:p w:rsidR="00000000" w:rsidRPr="00754482" w:rsidP="00754482">
            <w:pPr>
              <w:pStyle w:val="ListBullet"/>
            </w:pPr>
            <w:r w:rsidRPr="00754482">
              <w:t>operational safety requirements and precautions for speciali</w:t>
            </w:r>
            <w:r w:rsidRPr="00754482">
              <w:t>sed light load shifting equipment concerned</w:t>
            </w:r>
          </w:p>
          <w:p w:rsidR="00000000" w:rsidRPr="00754482" w:rsidP="00754482">
            <w:pPr>
              <w:pStyle w:val="ListBullet"/>
            </w:pPr>
            <w:r w:rsidRPr="00754482">
              <w:t>operational work systems, equipment, management and site operating systems for operating specialised light load shifting equipment</w:t>
            </w:r>
          </w:p>
          <w:p w:rsidR="00000000" w:rsidRPr="00754482" w:rsidP="00754482">
            <w:pPr>
              <w:pStyle w:val="ListBullet"/>
            </w:pPr>
            <w:r w:rsidRPr="00754482">
              <w:t>problems that may occur and appropriate actions that can be taken to resolve thes</w:t>
            </w:r>
            <w:r w:rsidRPr="00754482">
              <w:t>e problems</w:t>
            </w:r>
          </w:p>
          <w:p w:rsidR="00000000" w:rsidRPr="00754482" w:rsidP="00754482">
            <w:pPr>
              <w:pStyle w:val="ListBullet"/>
            </w:pPr>
            <w:r w:rsidRPr="00754482">
              <w:t>purpose, characteristics, capabilities, requirements and limitations of specialised light load shifting equipment</w:t>
            </w:r>
          </w:p>
          <w:p w:rsidR="00000000" w:rsidRPr="00754482" w:rsidP="00754482">
            <w:pPr>
              <w:pStyle w:val="ListBullet"/>
            </w:pPr>
            <w:r w:rsidRPr="00754482">
              <w:t>relevant regulations for operating specialised light load shifting equipment, including relevant hazardous or dangerous goods systems and relevant bond, quarantine or other legislative requirements</w:t>
            </w:r>
          </w:p>
          <w:p w:rsidR="00000000" w:rsidRPr="00754482" w:rsidP="00754482">
            <w:pPr>
              <w:pStyle w:val="ListBullet"/>
            </w:pPr>
            <w:r w:rsidRPr="00754482">
              <w:t>relevant WHS/OHS and environmental protection procedures a</w:t>
            </w:r>
            <w:r w:rsidRPr="00754482">
              <w:t>nd guidelines</w:t>
            </w:r>
          </w:p>
          <w:p w:rsidR="00000000" w:rsidRPr="00754482" w:rsidP="00754482">
            <w:pPr>
              <w:pStyle w:val="ListBullet"/>
            </w:pPr>
            <w:r w:rsidRPr="00754482">
              <w:t>workplace procedures and policies for operating specialised light load shifting equipment.</w:t>
            </w:r>
          </w:p>
        </w:tc>
      </w:tr>
    </w:tbl>
    <w:p w:rsidR="00000000" w:rsidRPr="00754482" w:rsidP="00754482">
      <w:pPr>
        <w:pStyle w:val="NoPaddingFontSize1"/>
      </w:pPr>
    </w:p>
    <w:p w:rsidR="00000000" w:rsidRPr="00754482" w:rsidP="00754482">
      <w:pPr>
        <w:pStyle w:val="AllowPageBreak"/>
      </w:pPr>
    </w:p>
    <w:p w:rsidR="00000000" w:rsidRPr="00754482" w:rsidP="00754482">
      <w:pPr>
        <w:pStyle w:val="Heading1"/>
      </w:pPr>
      <w:bookmarkStart w:id="4" w:name="O_1196699"/>
      <w:bookmarkEnd w:id="4"/>
      <w:r w:rsidRPr="007544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82" w:rsidP="00754482">
            <w:pPr>
              <w:pStyle w:val="BodyText"/>
            </w:pPr>
            <w:r w:rsidRPr="00754482">
              <w:t>Assessors must hold credentials specified within the Standards for Registered Training Organisations current</w:t>
            </w:r>
            <w:r w:rsidRPr="00754482">
              <w:t xml:space="preserve"> at the time of assessment. </w:t>
            </w:r>
          </w:p>
          <w:p w:rsidR="00000000" w:rsidRPr="00754482" w:rsidP="00754482">
            <w:pPr>
              <w:pStyle w:val="BodyText"/>
            </w:pPr>
            <w:r w:rsidRPr="0075448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54482" w:rsidP="00754482">
            <w:pPr>
              <w:pStyle w:val="BodyText"/>
            </w:pPr>
            <w:r w:rsidRPr="00754482">
              <w:t>Assessment must o</w:t>
            </w:r>
            <w:r w:rsidRPr="00754482">
              <w:t>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54482" w:rsidP="00754482">
            <w:pPr>
              <w:pStyle w:val="BodyText"/>
            </w:pPr>
            <w:r w:rsidRPr="00754482">
              <w:t>Assessment processes and techniques must be a</w:t>
            </w:r>
            <w:r w:rsidRPr="00754482">
              <w:t>ppropriate to the language, literacy and numeracy requirements of the work being performed and the needs of the candidate.</w:t>
            </w:r>
          </w:p>
          <w:p w:rsidR="00000000" w:rsidRPr="00754482" w:rsidP="00754482">
            <w:pPr>
              <w:pStyle w:val="BodyText"/>
            </w:pPr>
            <w:r w:rsidRPr="00754482">
              <w:t>Resources for assessment must include access to:</w:t>
            </w:r>
          </w:p>
          <w:p w:rsidR="00000000" w:rsidRPr="00754482" w:rsidP="00754482">
            <w:pPr>
              <w:pStyle w:val="ListBullet"/>
            </w:pPr>
            <w:r w:rsidRPr="00754482">
              <w:t>a range of relevant exercises, case studies and/or simulations</w:t>
            </w:r>
          </w:p>
          <w:p w:rsidR="00000000" w:rsidRPr="00754482" w:rsidP="00754482">
            <w:pPr>
              <w:pStyle w:val="ListBullet"/>
            </w:pPr>
            <w:r w:rsidRPr="00754482">
              <w:t>relevant and appropr</w:t>
            </w:r>
            <w:r w:rsidRPr="00754482">
              <w:t xml:space="preserve">iate materials, tools, equipment and PPE currently used in industry </w:t>
            </w:r>
          </w:p>
          <w:p w:rsidR="00000000" w:rsidRPr="00754482" w:rsidP="00754482">
            <w:pPr>
              <w:pStyle w:val="ListBullet"/>
            </w:pPr>
            <w:r w:rsidRPr="00754482">
              <w:t>applicable documentation, including legislation, regulations, codes of practice, workplace procedures and operation manuals.</w:t>
            </w:r>
          </w:p>
        </w:tc>
      </w:tr>
    </w:tbl>
    <w:p w:rsidR="00621BC0" w:rsidP="00754482">
      <w:pPr>
        <w:pStyle w:val="NoPaddingFontSize1"/>
      </w:pPr>
    </w:p>
    <w:p w:rsidR="00621BC0" w:rsidP="00754482">
      <w:pPr>
        <w:pStyle w:val="NoPaddingFontSize1"/>
      </w:pPr>
    </w:p>
    <w:p w:rsidR="00000000" w:rsidRPr="00754482" w:rsidP="00754482">
      <w:pPr>
        <w:pStyle w:val="Heading1"/>
      </w:pPr>
      <w:bookmarkStart w:id="5" w:name="O_1196714"/>
      <w:bookmarkEnd w:id="5"/>
      <w:r w:rsidRPr="00754482">
        <w:t>Links</w:t>
      </w:r>
    </w:p>
    <w:p w:rsidR="00000000" w:rsidRPr="00754482" w:rsidP="00621BC0">
      <w:pPr>
        <w:pStyle w:val="BodyText"/>
      </w:pPr>
      <w:r w:rsidRPr="007544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4A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4482" w:rsidP="00754482"/>
    <w:sectPr w:rsidSect="007544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82" w:rsidRPr="00621BC0" w:rsidP="00621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C0" w:rsidP="00754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BC0" w:rsidP="00754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1BC0" w:rsidP="00754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482" w:rsidRPr="00621BC0" w:rsidP="00621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C0" w:rsidRPr="002D2AF8" w:rsidP="00754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TLID2045 Operate specialised light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21BC0" w:rsidP="00754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B8B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869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20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482"/>
  </w:style>
  <w:style w:type="character" w:customStyle="1" w:styleId="Heading1Char">
    <w:name w:val="Heading 1 Char"/>
    <w:basedOn w:val="DefaultParagraphFont"/>
    <w:link w:val="Heading1"/>
    <w:rsid w:val="00754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4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4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4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482"/>
    <w:rPr>
      <w:b/>
      <w:spacing w:val="0"/>
    </w:rPr>
  </w:style>
  <w:style w:type="paragraph" w:styleId="ListBullet2">
    <w:name w:val="List Bullet 2"/>
    <w:basedOn w:val="List2"/>
    <w:rsid w:val="007544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4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4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4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482"/>
    <w:rPr>
      <w:i/>
    </w:rPr>
  </w:style>
  <w:style w:type="paragraph" w:styleId="Caption">
    <w:name w:val="caption"/>
    <w:basedOn w:val="BodyText"/>
    <w:next w:val="Normal"/>
    <w:qFormat/>
    <w:rsid w:val="00754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482"/>
  </w:style>
  <w:style w:type="paragraph" w:styleId="TableofFigures">
    <w:name w:val="table of figures"/>
    <w:basedOn w:val="Normal"/>
    <w:next w:val="Normal"/>
    <w:semiHidden/>
    <w:rsid w:val="00754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4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482"/>
    <w:rPr>
      <w:rFonts w:ascii="Wingdings" w:hAnsi="Wingdings"/>
    </w:rPr>
  </w:style>
  <w:style w:type="paragraph" w:customStyle="1" w:styleId="TableHeading">
    <w:name w:val="Table Heading"/>
    <w:basedOn w:val="HeadingBase"/>
    <w:rsid w:val="00754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482"/>
    <w:rPr>
      <w:color w:val="0033CC"/>
      <w:u w:val="none"/>
    </w:rPr>
  </w:style>
  <w:style w:type="paragraph" w:customStyle="1" w:styleId="BodyTextRight">
    <w:name w:val="Body Text Right"/>
    <w:basedOn w:val="BodyText"/>
    <w:rsid w:val="00754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4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482"/>
    <w:rPr>
      <w:sz w:val="32"/>
    </w:rPr>
  </w:style>
  <w:style w:type="paragraph" w:customStyle="1" w:styleId="HeadingProcedure">
    <w:name w:val="Heading Procedure"/>
    <w:basedOn w:val="HeadingBase"/>
    <w:next w:val="Normal"/>
    <w:rsid w:val="00754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482"/>
    <w:pPr>
      <w:spacing w:before="60" w:after="60"/>
    </w:pPr>
  </w:style>
  <w:style w:type="paragraph" w:styleId="ListContinue">
    <w:name w:val="List Continue"/>
    <w:basedOn w:val="List"/>
    <w:rsid w:val="00754482"/>
    <w:pPr>
      <w:ind w:firstLine="0"/>
    </w:pPr>
  </w:style>
  <w:style w:type="paragraph" w:customStyle="1" w:styleId="ListNote">
    <w:name w:val="List Note"/>
    <w:basedOn w:val="List"/>
    <w:rsid w:val="00754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482"/>
    <w:rPr>
      <w:rFonts w:ascii="Courier New" w:hAnsi="Courier New"/>
    </w:rPr>
  </w:style>
  <w:style w:type="paragraph" w:customStyle="1" w:styleId="NoteBullet">
    <w:name w:val="Note Bullet"/>
    <w:basedOn w:val="Note"/>
    <w:rsid w:val="00754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4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482"/>
    <w:rPr>
      <w:b/>
      <w:smallCaps/>
    </w:rPr>
  </w:style>
  <w:style w:type="paragraph" w:customStyle="1" w:styleId="TableListNumber">
    <w:name w:val="Table List Number"/>
    <w:basedOn w:val="ListNumber"/>
    <w:rsid w:val="00754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482"/>
    <w:pPr>
      <w:numPr>
        <w:numId w:val="9"/>
      </w:numPr>
    </w:pPr>
  </w:style>
  <w:style w:type="paragraph" w:customStyle="1" w:styleId="ListAlpha2">
    <w:name w:val="List Alpha 2"/>
    <w:basedOn w:val="List2"/>
    <w:rsid w:val="00754482"/>
    <w:pPr>
      <w:numPr>
        <w:numId w:val="8"/>
      </w:numPr>
    </w:pPr>
  </w:style>
  <w:style w:type="paragraph" w:styleId="List2">
    <w:name w:val="List 2"/>
    <w:basedOn w:val="BodyText"/>
    <w:rsid w:val="00754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4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4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4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482"/>
    <w:pPr>
      <w:numPr>
        <w:numId w:val="4"/>
      </w:numPr>
    </w:pPr>
  </w:style>
  <w:style w:type="paragraph" w:styleId="ListContinue2">
    <w:name w:val="List Continue 2"/>
    <w:basedOn w:val="List2"/>
    <w:rsid w:val="00754482"/>
    <w:pPr>
      <w:ind w:firstLine="0"/>
    </w:pPr>
  </w:style>
  <w:style w:type="paragraph" w:styleId="ListContinue3">
    <w:name w:val="List Continue 3"/>
    <w:basedOn w:val="List3"/>
    <w:rsid w:val="00754482"/>
    <w:pPr>
      <w:ind w:left="1021" w:firstLine="0"/>
    </w:pPr>
  </w:style>
  <w:style w:type="paragraph" w:styleId="ListContinue4">
    <w:name w:val="List Continue 4"/>
    <w:basedOn w:val="List4"/>
    <w:rsid w:val="00754482"/>
    <w:pPr>
      <w:ind w:firstLine="0"/>
    </w:pPr>
  </w:style>
  <w:style w:type="paragraph" w:styleId="ListContinue5">
    <w:name w:val="List Continue 5"/>
    <w:basedOn w:val="List5"/>
    <w:rsid w:val="00754482"/>
    <w:pPr>
      <w:ind w:firstLine="0"/>
    </w:pPr>
  </w:style>
  <w:style w:type="paragraph" w:styleId="ListNumber3">
    <w:name w:val="List Number 3"/>
    <w:basedOn w:val="List3"/>
    <w:rsid w:val="00754482"/>
    <w:pPr>
      <w:numPr>
        <w:numId w:val="5"/>
      </w:numPr>
    </w:pPr>
  </w:style>
  <w:style w:type="paragraph" w:styleId="ListNumber4">
    <w:name w:val="List Number 4"/>
    <w:basedOn w:val="List4"/>
    <w:rsid w:val="00754482"/>
    <w:pPr>
      <w:numPr>
        <w:numId w:val="6"/>
      </w:numPr>
    </w:pPr>
  </w:style>
  <w:style w:type="paragraph" w:styleId="ListNumber5">
    <w:name w:val="List Number 5"/>
    <w:basedOn w:val="List5"/>
    <w:rsid w:val="00754482"/>
    <w:pPr>
      <w:numPr>
        <w:numId w:val="7"/>
      </w:numPr>
    </w:pPr>
  </w:style>
  <w:style w:type="paragraph" w:styleId="BlockText">
    <w:name w:val="Block Text"/>
    <w:basedOn w:val="Normal"/>
    <w:rsid w:val="00754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482"/>
    <w:rPr>
      <w:sz w:val="16"/>
      <w:vertAlign w:val="superscript"/>
    </w:rPr>
  </w:style>
  <w:style w:type="character" w:customStyle="1" w:styleId="Symbols">
    <w:name w:val="Symbols"/>
    <w:basedOn w:val="DefaultParagraphFont"/>
    <w:rsid w:val="00754482"/>
    <w:rPr>
      <w:rFonts w:ascii="Symbol" w:hAnsi="Symbol"/>
    </w:rPr>
  </w:style>
  <w:style w:type="character" w:customStyle="1" w:styleId="MenuOptions">
    <w:name w:val="Menu Options"/>
    <w:basedOn w:val="DefaultParagraphFont"/>
    <w:rsid w:val="00754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482"/>
    <w:rPr>
      <w:b/>
    </w:rPr>
  </w:style>
  <w:style w:type="character" w:customStyle="1" w:styleId="Underlined">
    <w:name w:val="Underlined"/>
    <w:basedOn w:val="DefaultParagraphFont"/>
    <w:rsid w:val="00754482"/>
    <w:rPr>
      <w:u w:val="single"/>
    </w:rPr>
  </w:style>
  <w:style w:type="paragraph" w:customStyle="1" w:styleId="TableBodyTextRight">
    <w:name w:val="Table Body Text Right"/>
    <w:basedOn w:val="TableBodyText"/>
    <w:rsid w:val="00754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482"/>
    <w:rPr>
      <w:sz w:val="18"/>
    </w:rPr>
  </w:style>
  <w:style w:type="paragraph" w:customStyle="1" w:styleId="BodySmallRight">
    <w:name w:val="Body Small Right"/>
    <w:basedOn w:val="BodyTextRight"/>
    <w:rsid w:val="00754482"/>
    <w:rPr>
      <w:sz w:val="18"/>
      <w:szCs w:val="18"/>
    </w:rPr>
  </w:style>
  <w:style w:type="paragraph" w:customStyle="1" w:styleId="MarginEdition">
    <w:name w:val="Margin Edition"/>
    <w:basedOn w:val="MarginNote"/>
    <w:rsid w:val="00754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482"/>
    <w:rPr>
      <w:sz w:val="2"/>
      <w:szCs w:val="2"/>
    </w:rPr>
  </w:style>
  <w:style w:type="character" w:customStyle="1" w:styleId="Small">
    <w:name w:val="Small"/>
    <w:basedOn w:val="DefaultParagraphFont"/>
    <w:rsid w:val="00754482"/>
    <w:rPr>
      <w:sz w:val="16"/>
    </w:rPr>
  </w:style>
  <w:style w:type="paragraph" w:customStyle="1" w:styleId="WideTable">
    <w:name w:val="Wide Table"/>
    <w:basedOn w:val="Normal"/>
    <w:rsid w:val="00754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482"/>
  </w:style>
  <w:style w:type="paragraph" w:styleId="Quote">
    <w:name w:val="Quote"/>
    <w:basedOn w:val="Heading1"/>
    <w:link w:val="QuoteChar"/>
    <w:qFormat/>
    <w:rsid w:val="00754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482"/>
    <w:pPr>
      <w:pageBreakBefore/>
    </w:pPr>
  </w:style>
  <w:style w:type="paragraph" w:customStyle="1" w:styleId="Border">
    <w:name w:val="Border"/>
    <w:basedOn w:val="Normal"/>
    <w:qFormat/>
    <w:rsid w:val="00754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482"/>
    <w:rPr>
      <w:u w:val="single"/>
    </w:rPr>
  </w:style>
  <w:style w:type="character" w:customStyle="1" w:styleId="BoldandItalics">
    <w:name w:val="Bold and Italics"/>
    <w:qFormat/>
    <w:rsid w:val="00754482"/>
    <w:rPr>
      <w:b/>
      <w:i/>
      <w:u w:val="none"/>
    </w:rPr>
  </w:style>
  <w:style w:type="paragraph" w:styleId="BalloonText">
    <w:name w:val="Balloon Text"/>
    <w:basedOn w:val="Normal"/>
    <w:link w:val="BalloonTextChar"/>
    <w:rsid w:val="00754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4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4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482"/>
    <w:pPr>
      <w:spacing w:before="0" w:after="0"/>
    </w:pPr>
  </w:style>
  <w:style w:type="paragraph" w:customStyle="1" w:styleId="BodyTextBold">
    <w:name w:val="Body Text Bold"/>
    <w:basedOn w:val="BodyText"/>
    <w:qFormat/>
    <w:rsid w:val="00754482"/>
    <w:rPr>
      <w:b/>
    </w:rPr>
  </w:style>
  <w:style w:type="character" w:styleId="Hyperlink">
    <w:name w:val="Hyperlink"/>
    <w:basedOn w:val="DefaultParagraphFont"/>
    <w:uiPriority w:val="99"/>
    <w:unhideWhenUsed/>
    <w:rsid w:val="00621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4492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TLID2045 Operate specialised light load shifting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