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609D" w:rsidP="002D60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TLID2021 Use specialised bulk transfer equipment (dry)</w:t>
      </w:r>
      <w:r>
        <w:fldChar w:fldCharType="end"/>
      </w:r>
    </w:p>
    <w:p w:rsidR="002D609D" w:rsidP="002D609D">
      <w:pPr>
        <w:pStyle w:val="Version"/>
        <w:sectPr w:rsidSect="004165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6575" w:rsidP="00416575">
      <w:pPr>
        <w:pStyle w:val="SuperHeading"/>
      </w:pPr>
      <w:r w:rsidRPr="00416575">
        <w:t>TLID2021 Use specialised bulk transfer equipment (dry)</w:t>
      </w:r>
    </w:p>
    <w:p w:rsidR="00000000" w:rsidRPr="00416575" w:rsidP="00416575">
      <w:pPr>
        <w:pStyle w:val="Heading1"/>
      </w:pPr>
      <w:bookmarkStart w:id="1" w:name="O_842613"/>
      <w:bookmarkEnd w:id="1"/>
      <w:r w:rsidRPr="00416575">
        <w:t>Modification History</w:t>
      </w:r>
    </w:p>
    <w:p w:rsidR="002D609D" w:rsidP="002D609D">
      <w:pPr>
        <w:pStyle w:val="BodyText"/>
      </w:pPr>
      <w:r w:rsidRPr="00416575">
        <w:t>Release 1. This is the first release of this unit of competency in the TLI Transport and Logistics Training Package.</w:t>
      </w:r>
    </w:p>
    <w:p w:rsidR="00000000" w:rsidRPr="00416575" w:rsidP="00416575">
      <w:pPr>
        <w:pStyle w:val="Heading1"/>
      </w:pPr>
      <w:bookmarkStart w:id="2" w:name="O_842614"/>
      <w:bookmarkEnd w:id="2"/>
      <w:r w:rsidRPr="00416575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165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75" w:rsidP="00416575">
            <w:pPr>
              <w:pStyle w:val="BodyText"/>
            </w:pPr>
            <w:r w:rsidRPr="00416575">
              <w:t xml:space="preserve">This unit involves the skills and knowledge required to use specialised </w:t>
            </w:r>
            <w:r w:rsidRPr="00416575">
              <w:t xml:space="preserve">bulk transfer equipment for dry materials in accordance with relevant state/territory regulations. </w:t>
            </w:r>
          </w:p>
          <w:p w:rsidR="00000000" w:rsidRPr="00416575" w:rsidP="00416575">
            <w:pPr>
              <w:pStyle w:val="BodyText"/>
            </w:pPr>
            <w:r w:rsidRPr="00416575">
              <w:t>It includes planning work, transferring material, monitoring and operating controls, and completing all operations, as required.</w:t>
            </w:r>
          </w:p>
          <w:p w:rsidR="00000000" w:rsidRPr="00416575" w:rsidP="00416575">
            <w:pPr>
              <w:pStyle w:val="BodyText"/>
            </w:pPr>
            <w:r w:rsidRPr="00416575">
              <w:t>Work is performed under gen</w:t>
            </w:r>
            <w:r w:rsidRPr="00416575">
              <w:t xml:space="preserve">eral supervision. </w:t>
            </w:r>
          </w:p>
          <w:p w:rsidR="00000000" w:rsidRPr="00416575" w:rsidP="00416575">
            <w:pPr>
              <w:pStyle w:val="BodyText"/>
            </w:pPr>
            <w:r w:rsidRPr="00416575">
              <w:t>No licensing, legislative or certification requirements apply to this unit at the time of publication.</w:t>
            </w:r>
          </w:p>
        </w:tc>
      </w:tr>
    </w:tbl>
    <w:p w:rsidR="002D609D" w:rsidP="00416575">
      <w:pPr>
        <w:pStyle w:val="BodyText"/>
      </w:pPr>
    </w:p>
    <w:p w:rsidR="002D609D" w:rsidP="00416575">
      <w:pPr>
        <w:pStyle w:val="BodyText"/>
      </w:pPr>
    </w:p>
    <w:p w:rsidR="00000000" w:rsidRPr="00416575" w:rsidP="00416575">
      <w:pPr>
        <w:pStyle w:val="Heading1"/>
      </w:pPr>
      <w:bookmarkStart w:id="3" w:name="O_842615"/>
      <w:bookmarkEnd w:id="3"/>
      <w:r w:rsidRPr="00416575">
        <w:t>Pre-requisite Unit</w:t>
      </w:r>
    </w:p>
    <w:p w:rsidR="002D609D" w:rsidP="002D609D">
      <w:pPr>
        <w:pStyle w:val="BodyText"/>
      </w:pPr>
      <w:r w:rsidRPr="00416575">
        <w:t>Not applicable.</w:t>
      </w:r>
    </w:p>
    <w:p w:rsidR="00000000" w:rsidRPr="00416575" w:rsidP="00416575">
      <w:pPr>
        <w:pStyle w:val="Heading1"/>
      </w:pPr>
      <w:bookmarkStart w:id="4" w:name="O_842616"/>
      <w:bookmarkEnd w:id="4"/>
      <w:r w:rsidRPr="00416575">
        <w:t>Competency Field</w:t>
      </w:r>
    </w:p>
    <w:p w:rsidR="002D609D" w:rsidP="002D609D">
      <w:pPr>
        <w:pStyle w:val="BodyText"/>
      </w:pPr>
      <w:r w:rsidRPr="00416575">
        <w:t>D – Load Handling</w:t>
      </w:r>
    </w:p>
    <w:p w:rsidR="00000000" w:rsidRPr="00416575" w:rsidP="00416575">
      <w:pPr>
        <w:pStyle w:val="Heading1"/>
      </w:pPr>
      <w:bookmarkStart w:id="5" w:name="O_842617"/>
      <w:bookmarkEnd w:id="5"/>
      <w:r w:rsidRPr="00416575">
        <w:t>Unit Sec</w:t>
      </w:r>
      <w:r w:rsidRPr="00416575">
        <w:t>tor</w:t>
      </w:r>
    </w:p>
    <w:p w:rsidR="002D609D" w:rsidP="002D609D">
      <w:pPr>
        <w:pStyle w:val="BodyText"/>
      </w:pPr>
      <w:r w:rsidRPr="00416575">
        <w:t>Not applicable.</w:t>
      </w:r>
    </w:p>
    <w:p w:rsidR="00000000" w:rsidRPr="00416575" w:rsidP="00416575">
      <w:pPr>
        <w:pStyle w:val="Heading1"/>
      </w:pPr>
      <w:bookmarkStart w:id="6" w:name="O_842618"/>
      <w:bookmarkEnd w:id="6"/>
      <w:r w:rsidRPr="00416575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75" w:rsidP="00416575">
            <w:pPr>
              <w:pStyle w:val="BodyText"/>
            </w:pPr>
            <w:r w:rsidRPr="00416575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rPr>
                <w:rStyle w:val="SpecialBold"/>
              </w:rPr>
              <w:t>PERFORMANCE CRITERIA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Performance criteria describe the performance needed to demonstrate achievement of the element.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75" w:rsidP="00416575">
            <w:pPr>
              <w:pStyle w:val="BodyText"/>
            </w:pPr>
            <w:r w:rsidRPr="00416575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rPr>
                <w:rStyle w:val="SpecialBold"/>
              </w:rPr>
              <w:t>Plan work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 xml:space="preserve">Job hazards are identified and required action is taken to </w:t>
            </w:r>
            <w:r w:rsidRPr="00416575">
              <w:t>minimise, control or eliminate identified hazards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Dangerous or hazardous (including regulated waste) or other materials requiring specialised handling are identified, and relevant workplace procedures are taken into account when planning work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Traffic flow and work area conditions are assessed and a</w:t>
            </w:r>
            <w:r w:rsidRPr="00416575">
              <w:t>nticipated to ensure safe operation and no injury to people or damage to equipment, loads, facilities or environment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Load characteristics are taken into account when selecting method, equipment and appropriate attachments to transfer load, as requir</w:t>
            </w:r>
            <w:r w:rsidRPr="00416575">
              <w:t>ed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Potential occurrences in work area that may affect the safety and efficiency of operations are reported to appropriate personnel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 xml:space="preserve">Bulk transfer of dry materials is planned, taking into account load requirements, transfer method, storage facility and transport mode, load weight, dimensions, and equipment capacity 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Required personal safety equipment, signage, barriers and specia</w:t>
            </w:r>
            <w:r w:rsidRPr="00416575">
              <w:t>l precautions are identified in plan and utilised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Procedures to deal with spills, leakages and ruptures are identified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Customer requests for variation to agreed operations are actioned within scope of authority or referred to appropriate personnel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75" w:rsidP="00416575">
            <w:pPr>
              <w:pStyle w:val="BodyText"/>
            </w:pPr>
            <w:r w:rsidRPr="00416575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rPr>
                <w:rStyle w:val="SpecialBold"/>
              </w:rPr>
              <w:t>Transfer material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Equipment is prepared and appropriate attachment/s is fitted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Equipment controls are checked for</w:t>
            </w:r>
            <w:r w:rsidRPr="00416575">
              <w:t xml:space="preserve"> correct operational status before commencing transfer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Adjustments are made to process, to accommodate special requirements such as temperature control, combustion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Instruments and gauges are monitored during operations to ensure operation is consistent with workplace procedures, manufacturer specifications, enterprise schedule and safety requirements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Speed of operation is managed for safety and efficiency of m</w:t>
            </w:r>
            <w:r w:rsidRPr="00416575">
              <w:t>aterials movement and equipment operations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Faults or damage to equipment are immediately reported to appropriate personnel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75" w:rsidP="00416575">
            <w:pPr>
              <w:pStyle w:val="BodyText"/>
            </w:pPr>
            <w:r w:rsidRPr="00416575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rPr>
                <w:rStyle w:val="SpecialBold"/>
              </w:rPr>
              <w:t>Monitor and operate controls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Equipment controls are monitored and operated in accordance with manufacturer operating in</w:t>
            </w:r>
            <w:r w:rsidRPr="00416575">
              <w:t>structions and workplace procedures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Control systems are monitored to ensure operation is consistent with workplace procedures, manufacturer specifications, workplace schedule, safety requirements and statutory regulations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Materials are moved ensuring no injury to personnel or damage to equipment or goods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Faults are identified and reported in accordance with workplace procedures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75" w:rsidP="00416575">
            <w:pPr>
              <w:pStyle w:val="BodyText"/>
            </w:pPr>
            <w:r w:rsidRPr="00416575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rPr>
                <w:rStyle w:val="SpecialBold"/>
              </w:rPr>
              <w:t>Complete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Equipment is shut down in accordance with manufacturer guidelines, without injury to personnel or damage to equipment, loads or facilities in accordance with workplace procedures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Clean up methods for transfer equipment are completed in accordance wi</w:t>
            </w:r>
            <w:r w:rsidRPr="00416575">
              <w:t>th workplace procedures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 xml:space="preserve">Equipment is cleaned and secured in accordance with workplace procedures </w:t>
            </w:r>
          </w:p>
        </w:tc>
      </w:tr>
      <w:tr w:rsidTr="002D609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6575">
            <w:pPr>
              <w:pStyle w:val="BodyText"/>
              <w:rPr>
                <w:lang w:val="en-NZ"/>
              </w:rPr>
            </w:pPr>
            <w:r w:rsidRPr="00416575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6575" w:rsidP="00416575">
            <w:pPr>
              <w:pStyle w:val="BodyText"/>
            </w:pPr>
            <w:r w:rsidRPr="00416575">
              <w:t>Documentation is completed and filed in accordance workplace procedures</w:t>
            </w:r>
          </w:p>
        </w:tc>
      </w:tr>
    </w:tbl>
    <w:p w:rsidR="002D609D" w:rsidP="00416575">
      <w:pPr>
        <w:pStyle w:val="BodyText"/>
      </w:pPr>
    </w:p>
    <w:p w:rsidR="002D609D" w:rsidP="00416575">
      <w:pPr>
        <w:pStyle w:val="BodyText"/>
      </w:pPr>
    </w:p>
    <w:p w:rsidR="00000000" w:rsidRPr="00416575" w:rsidP="00416575">
      <w:pPr>
        <w:pStyle w:val="Heading1"/>
      </w:pPr>
      <w:bookmarkStart w:id="7" w:name="O_842619"/>
      <w:bookmarkEnd w:id="7"/>
      <w:r w:rsidRPr="00416575">
        <w:t>Foundation Skills</w:t>
      </w:r>
    </w:p>
    <w:p w:rsidR="002D609D" w:rsidP="002D609D">
      <w:pPr>
        <w:pStyle w:val="BodyText"/>
      </w:pPr>
      <w:r w:rsidRPr="00416575">
        <w:t>Foundation skills essential to performance are explicit in the performance criteria of this unit of competency.</w:t>
      </w:r>
    </w:p>
    <w:p w:rsidR="00000000" w:rsidRPr="00416575" w:rsidP="00416575">
      <w:pPr>
        <w:pStyle w:val="Heading1"/>
      </w:pPr>
      <w:bookmarkStart w:id="8" w:name="O_842620"/>
      <w:bookmarkEnd w:id="8"/>
      <w:r w:rsidRPr="00416575">
        <w:t>Range of Conditions</w:t>
      </w:r>
    </w:p>
    <w:p w:rsidR="00000000" w:rsidRPr="00416575" w:rsidP="002D609D">
      <w:pPr>
        <w:pStyle w:val="BodyText"/>
      </w:pPr>
      <w:r w:rsidRPr="00416575">
        <w:t>Range is restricted to essential operating conditions and any other variables essential to the work enviro</w:t>
      </w:r>
      <w:r w:rsidRPr="00416575">
        <w:t>nment.</w:t>
      </w:r>
    </w:p>
    <w:p w:rsidR="002D609D" w:rsidP="002D609D">
      <w:pPr>
        <w:pStyle w:val="BodyText"/>
      </w:pPr>
      <w:r w:rsidRPr="00416575">
        <w:t>Non-essential conditions can be found in the Companion Volume Implementation Guide.</w:t>
      </w:r>
    </w:p>
    <w:p w:rsidR="00000000" w:rsidRPr="00416575" w:rsidP="00416575">
      <w:pPr>
        <w:pStyle w:val="Heading1"/>
      </w:pPr>
      <w:bookmarkStart w:id="9" w:name="O_842621"/>
      <w:bookmarkEnd w:id="9"/>
      <w:r w:rsidRPr="00416575">
        <w:t>Unit Mapping Information</w:t>
      </w:r>
    </w:p>
    <w:p w:rsidR="002D609D" w:rsidP="002D609D">
      <w:pPr>
        <w:pStyle w:val="BodyText"/>
      </w:pPr>
      <w:r w:rsidRPr="00416575">
        <w:t>This unit replaces and is equivalent to TLID2021A Use specialised bulk transfer equipment (dry).</w:t>
      </w:r>
    </w:p>
    <w:p w:rsidR="00000000" w:rsidRPr="00416575" w:rsidP="00416575">
      <w:pPr>
        <w:pStyle w:val="Heading1"/>
      </w:pPr>
      <w:bookmarkStart w:id="10" w:name="O_842628"/>
      <w:bookmarkEnd w:id="10"/>
      <w:r w:rsidRPr="00416575">
        <w:t>Links</w:t>
      </w:r>
    </w:p>
    <w:p w:rsidR="00000000" w:rsidRPr="00416575" w:rsidP="002D609D">
      <w:pPr>
        <w:pStyle w:val="BodyText"/>
      </w:pPr>
      <w:r w:rsidRPr="0041657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87A8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16575" w:rsidP="00416575"/>
    <w:sectPr w:rsidSect="0041657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75" w:rsidRPr="002D609D" w:rsidP="002D60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9D" w:rsidP="004165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609D" w:rsidP="004165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D609D" w:rsidP="004165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6575" w:rsidRPr="002D609D" w:rsidP="002D60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5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609D" w:rsidRPr="002D2AF8" w:rsidP="004165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TLID2021 Use specialised bulk transfer equipment (dry)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May 2021</w:t>
    </w:r>
    <w:r>
      <w:fldChar w:fldCharType="end"/>
    </w:r>
  </w:p>
  <w:p w:rsidR="002D609D" w:rsidP="004165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5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65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65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65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65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65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65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65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65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65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65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6575"/>
  </w:style>
  <w:style w:type="character" w:customStyle="1" w:styleId="Heading1Char">
    <w:name w:val="Heading 1 Char"/>
    <w:basedOn w:val="DefaultParagraphFont"/>
    <w:link w:val="Heading1"/>
    <w:rsid w:val="004165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65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65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16575"/>
    <w:rPr>
      <w:b/>
      <w:spacing w:val="0"/>
    </w:rPr>
  </w:style>
  <w:style w:type="paragraph" w:customStyle="1" w:styleId="SuperHeading">
    <w:name w:val="SuperHeading"/>
    <w:basedOn w:val="Normal"/>
    <w:rsid w:val="004165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65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65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65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65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6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65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6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65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65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65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65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65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65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65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65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65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65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65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65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65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65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165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65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65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65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165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165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65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65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65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65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65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65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65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65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6575"/>
    <w:rPr>
      <w:i/>
    </w:rPr>
  </w:style>
  <w:style w:type="paragraph" w:styleId="Caption">
    <w:name w:val="caption"/>
    <w:basedOn w:val="BodyText"/>
    <w:next w:val="Normal"/>
    <w:qFormat/>
    <w:rsid w:val="004165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65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65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6575"/>
  </w:style>
  <w:style w:type="paragraph" w:styleId="TableofFigures">
    <w:name w:val="table of figures"/>
    <w:basedOn w:val="Normal"/>
    <w:next w:val="Normal"/>
    <w:semiHidden/>
    <w:rsid w:val="004165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65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16575"/>
    <w:rPr>
      <w:rFonts w:ascii="Wingdings" w:hAnsi="Wingdings"/>
    </w:rPr>
  </w:style>
  <w:style w:type="paragraph" w:customStyle="1" w:styleId="TableHeading">
    <w:name w:val="Table Heading"/>
    <w:basedOn w:val="HeadingBase"/>
    <w:rsid w:val="004165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6575"/>
    <w:rPr>
      <w:color w:val="0033CC"/>
      <w:u w:val="none"/>
    </w:rPr>
  </w:style>
  <w:style w:type="paragraph" w:customStyle="1" w:styleId="BodyTextRight">
    <w:name w:val="Body Text Right"/>
    <w:basedOn w:val="BodyText"/>
    <w:rsid w:val="004165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65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65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65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65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65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6575"/>
    <w:rPr>
      <w:sz w:val="32"/>
    </w:rPr>
  </w:style>
  <w:style w:type="paragraph" w:customStyle="1" w:styleId="HeadingProcedure">
    <w:name w:val="Heading Procedure"/>
    <w:basedOn w:val="HeadingBase"/>
    <w:next w:val="Normal"/>
    <w:rsid w:val="004165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6575"/>
    <w:pPr>
      <w:spacing w:before="60" w:after="60"/>
    </w:pPr>
  </w:style>
  <w:style w:type="paragraph" w:styleId="ListContinue">
    <w:name w:val="List Continue"/>
    <w:basedOn w:val="List"/>
    <w:rsid w:val="00416575"/>
    <w:pPr>
      <w:ind w:firstLine="0"/>
    </w:pPr>
  </w:style>
  <w:style w:type="paragraph" w:customStyle="1" w:styleId="ListNote">
    <w:name w:val="List Note"/>
    <w:basedOn w:val="List"/>
    <w:rsid w:val="004165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65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65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6575"/>
    <w:rPr>
      <w:rFonts w:ascii="Courier New" w:hAnsi="Courier New"/>
    </w:rPr>
  </w:style>
  <w:style w:type="paragraph" w:customStyle="1" w:styleId="NoteBullet">
    <w:name w:val="Note Bullet"/>
    <w:basedOn w:val="Note"/>
    <w:rsid w:val="004165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65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65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65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65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165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65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6575"/>
    <w:rPr>
      <w:b/>
      <w:smallCaps/>
    </w:rPr>
  </w:style>
  <w:style w:type="paragraph" w:customStyle="1" w:styleId="TableListNumber">
    <w:name w:val="Table List Number"/>
    <w:basedOn w:val="ListNumber"/>
    <w:rsid w:val="004165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65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6575"/>
    <w:pPr>
      <w:numPr>
        <w:numId w:val="7"/>
      </w:numPr>
    </w:pPr>
  </w:style>
  <w:style w:type="paragraph" w:customStyle="1" w:styleId="ListAlpha2">
    <w:name w:val="List Alpha 2"/>
    <w:basedOn w:val="List2"/>
    <w:rsid w:val="00416575"/>
    <w:pPr>
      <w:numPr>
        <w:numId w:val="6"/>
      </w:numPr>
    </w:pPr>
  </w:style>
  <w:style w:type="paragraph" w:styleId="List2">
    <w:name w:val="List 2"/>
    <w:basedOn w:val="BodyText"/>
    <w:rsid w:val="004165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65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65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65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65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65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16575"/>
    <w:pPr>
      <w:numPr>
        <w:numId w:val="2"/>
      </w:numPr>
    </w:pPr>
  </w:style>
  <w:style w:type="paragraph" w:styleId="ListContinue2">
    <w:name w:val="List Continue 2"/>
    <w:basedOn w:val="List2"/>
    <w:rsid w:val="00416575"/>
    <w:pPr>
      <w:ind w:firstLine="0"/>
    </w:pPr>
  </w:style>
  <w:style w:type="paragraph" w:styleId="ListContinue3">
    <w:name w:val="List Continue 3"/>
    <w:basedOn w:val="List3"/>
    <w:rsid w:val="00416575"/>
    <w:pPr>
      <w:ind w:left="1021" w:firstLine="0"/>
    </w:pPr>
  </w:style>
  <w:style w:type="paragraph" w:styleId="ListContinue4">
    <w:name w:val="List Continue 4"/>
    <w:basedOn w:val="List4"/>
    <w:rsid w:val="00416575"/>
    <w:pPr>
      <w:ind w:firstLine="0"/>
    </w:pPr>
  </w:style>
  <w:style w:type="paragraph" w:styleId="ListContinue5">
    <w:name w:val="List Continue 5"/>
    <w:basedOn w:val="List5"/>
    <w:rsid w:val="00416575"/>
    <w:pPr>
      <w:ind w:firstLine="0"/>
    </w:pPr>
  </w:style>
  <w:style w:type="paragraph" w:styleId="ListNumber3">
    <w:name w:val="List Number 3"/>
    <w:basedOn w:val="List3"/>
    <w:rsid w:val="00416575"/>
    <w:pPr>
      <w:numPr>
        <w:numId w:val="3"/>
      </w:numPr>
    </w:pPr>
  </w:style>
  <w:style w:type="paragraph" w:styleId="ListNumber4">
    <w:name w:val="List Number 4"/>
    <w:basedOn w:val="List4"/>
    <w:rsid w:val="00416575"/>
    <w:pPr>
      <w:numPr>
        <w:numId w:val="4"/>
      </w:numPr>
    </w:pPr>
  </w:style>
  <w:style w:type="paragraph" w:styleId="ListNumber5">
    <w:name w:val="List Number 5"/>
    <w:basedOn w:val="List5"/>
    <w:rsid w:val="00416575"/>
    <w:pPr>
      <w:numPr>
        <w:numId w:val="5"/>
      </w:numPr>
    </w:pPr>
  </w:style>
  <w:style w:type="paragraph" w:styleId="BlockText">
    <w:name w:val="Block Text"/>
    <w:basedOn w:val="Normal"/>
    <w:rsid w:val="004165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65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6575"/>
    <w:rPr>
      <w:sz w:val="16"/>
      <w:vertAlign w:val="superscript"/>
    </w:rPr>
  </w:style>
  <w:style w:type="character" w:customStyle="1" w:styleId="Symbols">
    <w:name w:val="Symbols"/>
    <w:basedOn w:val="DefaultParagraphFont"/>
    <w:rsid w:val="00416575"/>
    <w:rPr>
      <w:rFonts w:ascii="Symbol" w:hAnsi="Symbol"/>
    </w:rPr>
  </w:style>
  <w:style w:type="character" w:customStyle="1" w:styleId="MenuOptions">
    <w:name w:val="Menu Options"/>
    <w:basedOn w:val="DefaultParagraphFont"/>
    <w:rsid w:val="004165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6575"/>
    <w:rPr>
      <w:b/>
    </w:rPr>
  </w:style>
  <w:style w:type="character" w:customStyle="1" w:styleId="Underlined">
    <w:name w:val="Underlined"/>
    <w:basedOn w:val="DefaultParagraphFont"/>
    <w:rsid w:val="00416575"/>
    <w:rPr>
      <w:u w:val="single"/>
    </w:rPr>
  </w:style>
  <w:style w:type="paragraph" w:customStyle="1" w:styleId="TableBodyTextRight">
    <w:name w:val="Table Body Text Right"/>
    <w:basedOn w:val="TableBodyText"/>
    <w:rsid w:val="004165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6575"/>
    <w:rPr>
      <w:sz w:val="18"/>
    </w:rPr>
  </w:style>
  <w:style w:type="paragraph" w:customStyle="1" w:styleId="BodySmallRight">
    <w:name w:val="Body Small Right"/>
    <w:basedOn w:val="BodyTextRight"/>
    <w:rsid w:val="00416575"/>
    <w:rPr>
      <w:sz w:val="18"/>
      <w:szCs w:val="18"/>
    </w:rPr>
  </w:style>
  <w:style w:type="paragraph" w:customStyle="1" w:styleId="MarginEdition">
    <w:name w:val="Margin Edition"/>
    <w:basedOn w:val="MarginNote"/>
    <w:rsid w:val="004165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6575"/>
    <w:rPr>
      <w:sz w:val="2"/>
      <w:szCs w:val="2"/>
    </w:rPr>
  </w:style>
  <w:style w:type="character" w:customStyle="1" w:styleId="Small">
    <w:name w:val="Small"/>
    <w:basedOn w:val="DefaultParagraphFont"/>
    <w:rsid w:val="00416575"/>
    <w:rPr>
      <w:sz w:val="16"/>
    </w:rPr>
  </w:style>
  <w:style w:type="paragraph" w:customStyle="1" w:styleId="WideTable">
    <w:name w:val="Wide Table"/>
    <w:basedOn w:val="Normal"/>
    <w:rsid w:val="004165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6575"/>
  </w:style>
  <w:style w:type="paragraph" w:styleId="Quote">
    <w:name w:val="Quote"/>
    <w:basedOn w:val="Heading1"/>
    <w:link w:val="QuoteChar"/>
    <w:qFormat/>
    <w:rsid w:val="004165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65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6575"/>
    <w:pPr>
      <w:pageBreakBefore/>
    </w:pPr>
  </w:style>
  <w:style w:type="paragraph" w:customStyle="1" w:styleId="Border">
    <w:name w:val="Border"/>
    <w:basedOn w:val="Normal"/>
    <w:qFormat/>
    <w:rsid w:val="004165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65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65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65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65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65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65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65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65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6575"/>
    <w:rPr>
      <w:u w:val="single"/>
    </w:rPr>
  </w:style>
  <w:style w:type="character" w:customStyle="1" w:styleId="BoldandItalics">
    <w:name w:val="Bold and Italics"/>
    <w:qFormat/>
    <w:rsid w:val="00416575"/>
    <w:rPr>
      <w:b/>
      <w:i/>
      <w:u w:val="none"/>
    </w:rPr>
  </w:style>
  <w:style w:type="paragraph" w:styleId="BalloonText">
    <w:name w:val="Balloon Text"/>
    <w:basedOn w:val="Normal"/>
    <w:link w:val="BalloonTextChar"/>
    <w:rsid w:val="004165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65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65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65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65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65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6575"/>
    <w:pPr>
      <w:spacing w:before="0" w:after="0"/>
    </w:pPr>
  </w:style>
  <w:style w:type="paragraph" w:customStyle="1" w:styleId="BodyTextBold">
    <w:name w:val="Body Text Bold"/>
    <w:basedOn w:val="BodyText"/>
    <w:qFormat/>
    <w:rsid w:val="00416575"/>
    <w:rPr>
      <w:b/>
    </w:rPr>
  </w:style>
  <w:style w:type="character" w:styleId="Hyperlink">
    <w:name w:val="Hyperlink"/>
    <w:basedOn w:val="DefaultParagraphFont"/>
    <w:uiPriority w:val="99"/>
    <w:unhideWhenUsed/>
    <w:rsid w:val="002D609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4162</Characters>
  <Application>Microsoft Office Word</Application>
  <DocSecurity>0</DocSecurity>
  <Lines>198</Lines>
  <Paragraphs>100</Paragraphs>
  <ScaleCrop>false</ScaleCrop>
  <Company>Author-it Software Corporation Ltd.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TLID2021 Use specialised bulk transfer equipment (dry)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2021-05-20T09:04:00Z</dcterms:created>
  <dcterms:modified xsi:type="dcterms:W3CDTF">2021-05-20T09:04:00Z</dcterms:modified>
</cp:coreProperties>
</file>