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734" w:rsidP="00E22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TLID2018 Handle furniture and effects</w:t>
      </w:r>
      <w:r>
        <w:fldChar w:fldCharType="end"/>
      </w:r>
    </w:p>
    <w:p w:rsidR="00E22734" w:rsidP="00E22734">
      <w:pPr>
        <w:pStyle w:val="Version"/>
        <w:sectPr w:rsidSect="009A6B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B15" w:rsidP="009A6B15">
      <w:pPr>
        <w:pStyle w:val="SuperHeading"/>
      </w:pPr>
      <w:r w:rsidRPr="009A6B15">
        <w:t>TLID2018 Handle furniture and effects</w:t>
      </w:r>
    </w:p>
    <w:p w:rsidR="00000000" w:rsidRPr="009A6B15" w:rsidP="009A6B15">
      <w:pPr>
        <w:pStyle w:val="Heading1"/>
      </w:pPr>
      <w:bookmarkStart w:id="1" w:name="O_797684"/>
      <w:bookmarkEnd w:id="1"/>
      <w:r w:rsidRPr="009A6B15">
        <w:t>Modification History</w:t>
      </w:r>
    </w:p>
    <w:p w:rsidR="00E22734" w:rsidP="00E22734">
      <w:pPr>
        <w:pStyle w:val="BodyText"/>
      </w:pPr>
      <w:r w:rsidRPr="009A6B15">
        <w:t>Release 1. This is the first release of this unit of competency in the TLI Transport and Logistics Training Package.</w:t>
      </w:r>
    </w:p>
    <w:p w:rsidR="00000000" w:rsidRPr="009A6B15" w:rsidP="009A6B15">
      <w:pPr>
        <w:pStyle w:val="Heading1"/>
      </w:pPr>
      <w:bookmarkStart w:id="2" w:name="O_797685"/>
      <w:bookmarkEnd w:id="2"/>
      <w:r w:rsidRPr="009A6B15">
        <w:t>Application</w:t>
      </w:r>
    </w:p>
    <w:p w:rsidR="00000000" w:rsidRPr="009A6B15" w:rsidP="00E22734">
      <w:pPr>
        <w:pStyle w:val="BodyText"/>
      </w:pPr>
      <w:r w:rsidRPr="009A6B15">
        <w:t>This unit involves the skills and knowledge required to handle furniture and effects, an</w:t>
      </w:r>
      <w:r w:rsidRPr="009A6B15">
        <w:t>d to apply basic principles and routine procedures in a range of furniture removal contexts in accordance with relevant industry codes of practice.</w:t>
      </w:r>
    </w:p>
    <w:p w:rsidR="00000000" w:rsidRPr="009A6B15" w:rsidP="00E22734">
      <w:pPr>
        <w:pStyle w:val="BodyText"/>
      </w:pPr>
      <w:r w:rsidRPr="009A6B15">
        <w:t>It includes preparing for removal, moving furniture items in accordance with the removal plan and loading/un</w:t>
      </w:r>
      <w:r w:rsidRPr="009A6B15">
        <w:t>loading furniture onto/from the removal vehicle.</w:t>
      </w:r>
    </w:p>
    <w:p w:rsidR="00000000" w:rsidRPr="009A6B15" w:rsidP="00E22734">
      <w:pPr>
        <w:pStyle w:val="BodyText"/>
      </w:pPr>
      <w:r w:rsidRPr="009A6B15">
        <w:t>Work is performed under limited or minimum supervision generally within a team environment.</w:t>
      </w:r>
    </w:p>
    <w:p w:rsidR="00E22734" w:rsidP="00E22734">
      <w:pPr>
        <w:pStyle w:val="BodyText"/>
      </w:pPr>
      <w:r w:rsidRPr="009A6B15">
        <w:t>No licensing, legislative or certification requirements apply to this unit at the time of publication.</w:t>
      </w:r>
    </w:p>
    <w:p w:rsidR="00000000" w:rsidRPr="009A6B15" w:rsidP="009A6B15">
      <w:pPr>
        <w:pStyle w:val="Heading1"/>
      </w:pPr>
      <w:bookmarkStart w:id="3" w:name="O_797686"/>
      <w:bookmarkEnd w:id="3"/>
      <w:r w:rsidRPr="009A6B15">
        <w:t>Pre-requisite Unit</w:t>
      </w:r>
    </w:p>
    <w:p w:rsidR="00000000" w:rsidRPr="009A6B15" w:rsidP="00E22734">
      <w:pPr>
        <w:pStyle w:val="BodyText"/>
      </w:pPr>
      <w:r w:rsidRPr="009A6B15">
        <w:t>Not applicable.</w:t>
      </w:r>
    </w:p>
    <w:p w:rsidR="00000000" w:rsidRPr="009A6B15" w:rsidP="009A6B15">
      <w:pPr>
        <w:pStyle w:val="Heading1"/>
      </w:pPr>
      <w:bookmarkStart w:id="4" w:name="O_797687"/>
      <w:bookmarkEnd w:id="4"/>
      <w:r w:rsidRPr="009A6B15">
        <w:t>Competency Field</w:t>
      </w:r>
    </w:p>
    <w:p w:rsidR="00E22734" w:rsidP="00E22734">
      <w:pPr>
        <w:pStyle w:val="BodyText"/>
      </w:pPr>
      <w:r w:rsidRPr="009A6B15">
        <w:t>D – Load Handling</w:t>
      </w:r>
    </w:p>
    <w:p w:rsidR="00000000" w:rsidRPr="009A6B15" w:rsidP="009A6B15">
      <w:pPr>
        <w:pStyle w:val="Heading1"/>
      </w:pPr>
      <w:bookmarkStart w:id="5" w:name="O_797688"/>
      <w:bookmarkEnd w:id="5"/>
      <w:r w:rsidRPr="009A6B15">
        <w:t>Unit Sector</w:t>
      </w:r>
    </w:p>
    <w:p w:rsidR="00000000" w:rsidRPr="009A6B15" w:rsidP="00E22734">
      <w:pPr>
        <w:pStyle w:val="BodyText"/>
      </w:pPr>
      <w:r w:rsidRPr="009A6B15">
        <w:t>Not applicable.</w:t>
      </w:r>
    </w:p>
    <w:p w:rsidR="00000000" w:rsidRPr="009A6B15" w:rsidP="009A6B15">
      <w:pPr>
        <w:pStyle w:val="Heading1"/>
      </w:pPr>
      <w:bookmarkStart w:id="6" w:name="O_797689"/>
      <w:bookmarkEnd w:id="6"/>
      <w:r w:rsidRPr="009A6B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15" w:rsidP="009A6B15">
            <w:pPr>
              <w:pStyle w:val="BodyText"/>
            </w:pPr>
            <w:r w:rsidRPr="009A6B1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rPr>
                <w:rStyle w:val="SpecialBold"/>
              </w:rPr>
              <w:t>PERFORMANCE CRITERIA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Performance criteria describe the performance needed to demonstrate achievement of the element.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15" w:rsidP="009A6B15">
            <w:pPr>
              <w:pStyle w:val="BodyText"/>
            </w:pPr>
            <w:r w:rsidRPr="009A6B1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rPr>
                <w:rStyle w:val="SpecialBold"/>
              </w:rPr>
              <w:t>Prepare for removal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 xml:space="preserve">Appropriate removal equipment and materials are selected and work areas are </w:t>
            </w:r>
            <w:r w:rsidRPr="009A6B15">
              <w:t xml:space="preserve">organised in </w:t>
            </w:r>
            <w:r w:rsidRPr="009A6B15">
              <w:t>consultation with client upon arrival at client’s premises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Hazardous items are identified through consultation with client in accordance with workplace procedures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Protective coverings and drop cloths are placed in packing and traffic a</w:t>
            </w:r>
            <w:r w:rsidRPr="009A6B15">
              <w:t>reas in accordance with workplace procedures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Checks are made that client has prepared specific items for removal as required by workplace policy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Routes for lifting and moving furniture and effects to vehicle are identified, and floors, pathwa</w:t>
            </w:r>
            <w:r w:rsidRPr="009A6B15">
              <w:t>ys and/or stairs are checked to ensure they are free of obstacles and hazards before goods are handled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15" w:rsidP="009A6B15">
            <w:pPr>
              <w:pStyle w:val="BodyText"/>
            </w:pPr>
            <w:r w:rsidRPr="009A6B1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rPr>
                <w:rStyle w:val="SpecialBold"/>
              </w:rPr>
              <w:t>Move furniture items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Furniture and effects are selected, lifted, moved and loaded onto vehicle in accordance with removal documentation, work health and safety (WHS)/occupational health and safety (OHS) regulations and workplace procedures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Special lifting and moving equ</w:t>
            </w:r>
            <w:r w:rsidRPr="009A6B15">
              <w:t>ipment is selected and used in accordance with WHS/OHS regulations and workplace procedures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15" w:rsidP="009A6B15">
            <w:pPr>
              <w:pStyle w:val="BodyText"/>
            </w:pPr>
            <w:r w:rsidRPr="009A6B1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rPr>
                <w:rStyle w:val="SpecialBold"/>
              </w:rPr>
              <w:t>Load vehicle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Vehicle/container is prepared for loading process, and furniture and effects are stowed and secured in accordance with removal documentation, cl</w:t>
            </w:r>
            <w:r w:rsidRPr="009A6B15">
              <w:t>ient requirements and workplace procedures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Furniture and effects are unloaded from vehicle/container and stored in accordance with removal documentation and workplace policy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15" w:rsidP="009A6B15">
            <w:pPr>
              <w:pStyle w:val="BodyText"/>
            </w:pPr>
            <w:r w:rsidRPr="009A6B15">
              <w:t>Required removal documentation is completed in accordance with workplace requirements</w:t>
            </w:r>
          </w:p>
        </w:tc>
      </w:tr>
    </w:tbl>
    <w:p w:rsidR="00E22734" w:rsidP="009A6B15">
      <w:pPr>
        <w:pStyle w:val="BodyText"/>
      </w:pPr>
    </w:p>
    <w:p w:rsidR="00E22734" w:rsidP="009A6B15">
      <w:pPr>
        <w:pStyle w:val="BodyText"/>
      </w:pPr>
    </w:p>
    <w:p w:rsidR="00000000" w:rsidRPr="009A6B15" w:rsidP="009A6B15">
      <w:pPr>
        <w:pStyle w:val="Heading1"/>
      </w:pPr>
      <w:bookmarkStart w:id="7" w:name="O_797690"/>
      <w:bookmarkEnd w:id="7"/>
      <w:r w:rsidRPr="009A6B15">
        <w:t>Foundation Skills</w:t>
      </w:r>
    </w:p>
    <w:p w:rsidR="00E22734" w:rsidP="00E22734">
      <w:pPr>
        <w:pStyle w:val="BodyText"/>
      </w:pPr>
      <w:r w:rsidRPr="009A6B15">
        <w:t>Foundation skills essential to performance are explicit in the performance criteria of this unit of competency.</w:t>
      </w:r>
    </w:p>
    <w:p w:rsidR="00000000" w:rsidRPr="009A6B15" w:rsidP="009A6B15">
      <w:pPr>
        <w:pStyle w:val="Heading1"/>
      </w:pPr>
      <w:bookmarkStart w:id="8" w:name="O_797691"/>
      <w:bookmarkEnd w:id="8"/>
      <w:r w:rsidRPr="009A6B15">
        <w:t>Ra</w:t>
      </w:r>
      <w:r w:rsidRPr="009A6B15">
        <w:t>nge of Conditions</w:t>
      </w:r>
    </w:p>
    <w:p w:rsidR="00000000" w:rsidRPr="009A6B15" w:rsidP="00E22734">
      <w:pPr>
        <w:pStyle w:val="BodyText"/>
      </w:pPr>
      <w:r w:rsidRPr="009A6B15">
        <w:t>Range is restricted to essential operating conditions and any other variables essential to the work environment.</w:t>
      </w:r>
    </w:p>
    <w:p w:rsidR="00E22734" w:rsidP="00E22734">
      <w:pPr>
        <w:pStyle w:val="BodyText"/>
      </w:pPr>
      <w:r w:rsidRPr="009A6B15">
        <w:t>Non-essential conditions can be found in the Companion Volume Implementation Guide.</w:t>
      </w:r>
    </w:p>
    <w:p w:rsidR="00000000" w:rsidRPr="009A6B15" w:rsidP="009A6B15">
      <w:pPr>
        <w:pStyle w:val="Heading1"/>
      </w:pPr>
      <w:bookmarkStart w:id="9" w:name="O_797692"/>
      <w:bookmarkEnd w:id="9"/>
      <w:r w:rsidRPr="009A6B15">
        <w:t>Unit Mapping Information</w:t>
      </w:r>
    </w:p>
    <w:p w:rsidR="00E22734" w:rsidP="00E22734">
      <w:pPr>
        <w:pStyle w:val="BodyText"/>
      </w:pPr>
      <w:r w:rsidRPr="009A6B15">
        <w:t>This unit replaces and is equivalent to TLID2018A Handle furniture and effects.</w:t>
      </w:r>
    </w:p>
    <w:p w:rsidR="00000000" w:rsidRPr="009A6B15" w:rsidP="009A6B15">
      <w:pPr>
        <w:pStyle w:val="Heading1"/>
      </w:pPr>
      <w:bookmarkStart w:id="10" w:name="O_797699"/>
      <w:bookmarkEnd w:id="10"/>
      <w:r w:rsidRPr="009A6B15">
        <w:t>Links</w:t>
      </w:r>
    </w:p>
    <w:p w:rsidR="00000000" w:rsidRPr="009A6B15" w:rsidP="00E22734">
      <w:pPr>
        <w:pStyle w:val="BodyText"/>
      </w:pPr>
      <w:r w:rsidRPr="009A6B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55F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A6B15" w:rsidP="00E22734">
      <w:pPr>
        <w:pStyle w:val="BodyText"/>
        <w:sectPr w:rsidSect="009A6B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6B15" w:rsidP="009A6B15">
      <w:pPr>
        <w:pStyle w:val="SuperHeading"/>
      </w:pPr>
      <w:r w:rsidRPr="009A6B15">
        <w:t>Assessment Requirements for TLID2018 Handle furniture and effects</w:t>
      </w:r>
    </w:p>
    <w:p w:rsidR="00000000" w:rsidRPr="009A6B15" w:rsidP="009A6B15">
      <w:pPr>
        <w:pStyle w:val="Heading1"/>
      </w:pPr>
      <w:bookmarkStart w:id="11" w:name="O_797694"/>
      <w:bookmarkEnd w:id="11"/>
      <w:r w:rsidRPr="009A6B15">
        <w:t>Modification History</w:t>
      </w:r>
    </w:p>
    <w:p w:rsidR="00E22734" w:rsidP="00E22734">
      <w:pPr>
        <w:pStyle w:val="BodyText"/>
      </w:pPr>
      <w:r w:rsidRPr="009A6B15">
        <w:t>Release 1. This is the first release of this unit of competency in the TLI Transport an</w:t>
      </w:r>
      <w:r w:rsidRPr="009A6B15">
        <w:t>d Logistics Training Package.</w:t>
      </w:r>
    </w:p>
    <w:p w:rsidR="00000000" w:rsidRPr="009A6B15" w:rsidP="009A6B15">
      <w:pPr>
        <w:pStyle w:val="Heading1"/>
      </w:pPr>
      <w:bookmarkStart w:id="12" w:name="O_797695"/>
      <w:bookmarkEnd w:id="12"/>
      <w:r w:rsidRPr="009A6B1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 xml:space="preserve">Evidence required to demonstrate competence in this unit must be relevant to and satisfy all of the requirements of the elements and performance criteria on </w:t>
            </w:r>
            <w:r w:rsidRPr="009A6B15">
              <w:t>at least one occasion and include: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15" w:rsidP="009A6B15">
            <w:pPr>
              <w:pStyle w:val="ListBullet"/>
            </w:pPr>
            <w:r w:rsidRPr="009A6B15">
              <w:t xml:space="preserve">applying precautions and required action to minimise, control or eliminate identified hazards </w:t>
            </w:r>
          </w:p>
          <w:p w:rsidR="00000000" w:rsidRPr="009A6B15" w:rsidP="009A6B15">
            <w:pPr>
              <w:pStyle w:val="ListBullet"/>
            </w:pPr>
            <w:r w:rsidRPr="009A6B15">
              <w:t>applying relevant legislation and workplace procedures</w:t>
            </w:r>
          </w:p>
          <w:p w:rsidR="00000000" w:rsidRPr="009A6B15" w:rsidP="009A6B15">
            <w:pPr>
              <w:pStyle w:val="ListBullet"/>
            </w:pPr>
            <w:r w:rsidRPr="009A6B15">
              <w:t xml:space="preserve">communicating and working effectively with others </w:t>
            </w:r>
          </w:p>
          <w:p w:rsidR="00000000" w:rsidRPr="009A6B15" w:rsidP="009A6B15">
            <w:pPr>
              <w:pStyle w:val="ListBullet"/>
            </w:pPr>
            <w:r w:rsidRPr="009A6B15">
              <w:t xml:space="preserve">identifying and correctly using relevant equipment </w:t>
            </w:r>
          </w:p>
          <w:p w:rsidR="00000000" w:rsidRPr="009A6B15" w:rsidP="009A6B15">
            <w:pPr>
              <w:pStyle w:val="ListBullet"/>
            </w:pPr>
            <w:r w:rsidRPr="009A6B15">
              <w:t>identifying dangerous goods and other items that are prohibited carriage during a removal and taking appropriate action in accordance with regulatory requirements and operating procedures</w:t>
            </w:r>
          </w:p>
          <w:p w:rsidR="00000000" w:rsidRPr="009A6B15" w:rsidP="009A6B15">
            <w:pPr>
              <w:pStyle w:val="ListBullet"/>
            </w:pPr>
            <w:r w:rsidRPr="009A6B15">
              <w:t>implementing con</w:t>
            </w:r>
            <w:r w:rsidRPr="009A6B15">
              <w:t xml:space="preserve">tingency plans and modifying activities </w:t>
            </w:r>
          </w:p>
          <w:p w:rsidR="00000000" w:rsidRPr="009A6B15" w:rsidP="009A6B15">
            <w:pPr>
              <w:pStyle w:val="ListBullet"/>
            </w:pPr>
            <w:r w:rsidRPr="009A6B15">
              <w:t>monitoring and prioritising work activities in terms of planned schedule</w:t>
            </w:r>
          </w:p>
          <w:p w:rsidR="00000000" w:rsidRPr="009A6B15" w:rsidP="009A6B15">
            <w:pPr>
              <w:pStyle w:val="ListBullet"/>
            </w:pPr>
            <w:r w:rsidRPr="009A6B15">
              <w:t>operating and adapting to differences in furniture, equipment and operating environment in accordance with operating procedures</w:t>
            </w:r>
          </w:p>
          <w:p w:rsidR="00000000" w:rsidRPr="009A6B15" w:rsidP="009A6B15">
            <w:pPr>
              <w:pStyle w:val="ListBullet"/>
            </w:pPr>
            <w:r w:rsidRPr="009A6B15">
              <w:t>reading, inter</w:t>
            </w:r>
            <w:r w:rsidRPr="009A6B15">
              <w:t xml:space="preserve">preting and following relevant instructions, procedures, information and signs </w:t>
            </w:r>
          </w:p>
          <w:p w:rsidR="00000000" w:rsidRPr="009A6B15" w:rsidP="009A6B15">
            <w:pPr>
              <w:pStyle w:val="ListBullet"/>
            </w:pPr>
            <w:r w:rsidRPr="009A6B15">
              <w:t>selecting and using required personal protective equipment conforming to industry and work health and safety (WHS)/occupational health and safety (OHS) standards</w:t>
            </w:r>
          </w:p>
          <w:p w:rsidR="00000000" w:rsidRPr="009A6B15" w:rsidP="009A6B15">
            <w:pPr>
              <w:pStyle w:val="ListBullet"/>
            </w:pPr>
            <w:r w:rsidRPr="009A6B15">
              <w:t>servicing equi</w:t>
            </w:r>
            <w:r w:rsidRPr="009A6B15">
              <w:t>pment in terms of maintenance schedule and operating procedures</w:t>
            </w:r>
          </w:p>
          <w:p w:rsidR="00000000" w:rsidRPr="009A6B15" w:rsidP="009A6B15">
            <w:pPr>
              <w:pStyle w:val="ListBullet"/>
            </w:pPr>
            <w:r w:rsidRPr="009A6B15">
              <w:t>working systematically with required attention to detail without injury to self or others, or damage to furniture or equipment.</w:t>
            </w:r>
          </w:p>
        </w:tc>
      </w:tr>
    </w:tbl>
    <w:p w:rsidR="00000000" w:rsidRPr="009A6B15" w:rsidP="009A6B15">
      <w:pPr>
        <w:pStyle w:val="BodyText"/>
      </w:pPr>
    </w:p>
    <w:p w:rsidR="00000000" w:rsidRPr="009A6B15" w:rsidP="009A6B15">
      <w:pPr>
        <w:pStyle w:val="AllowPageBreak"/>
      </w:pPr>
    </w:p>
    <w:p w:rsidR="00000000" w:rsidRPr="009A6B15" w:rsidP="009A6B15">
      <w:pPr>
        <w:pStyle w:val="Heading1"/>
      </w:pPr>
      <w:bookmarkStart w:id="13" w:name="O_797696"/>
      <w:bookmarkEnd w:id="13"/>
      <w:r w:rsidRPr="009A6B1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B15">
            <w:pPr>
              <w:pStyle w:val="BodyText"/>
              <w:rPr>
                <w:lang w:val="en-NZ"/>
              </w:rPr>
            </w:pPr>
            <w:r w:rsidRPr="009A6B1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15" w:rsidP="009A6B15">
            <w:pPr>
              <w:pStyle w:val="ListBullet"/>
            </w:pPr>
            <w:r w:rsidRPr="009A6B15">
              <w:t xml:space="preserve">housekeeping standards and procedures </w:t>
            </w:r>
          </w:p>
          <w:p w:rsidR="00000000" w:rsidRPr="009A6B15" w:rsidP="009A6B15">
            <w:pPr>
              <w:pStyle w:val="ListBullet"/>
            </w:pPr>
            <w:r w:rsidRPr="009A6B15">
              <w:t>insurance rights and responsibiliti</w:t>
            </w:r>
            <w:r w:rsidRPr="009A6B15">
              <w:t>es</w:t>
            </w:r>
          </w:p>
          <w:p w:rsidR="00000000" w:rsidRPr="009A6B15" w:rsidP="009A6B15">
            <w:pPr>
              <w:pStyle w:val="ListBullet"/>
            </w:pPr>
            <w:r w:rsidRPr="009A6B15">
              <w:t>methods of securing a load on a removal vehicle</w:t>
            </w:r>
          </w:p>
          <w:p w:rsidR="00000000" w:rsidRPr="009A6B15" w:rsidP="009A6B15">
            <w:pPr>
              <w:pStyle w:val="ListBullet"/>
            </w:pPr>
            <w:r w:rsidRPr="009A6B15">
              <w:t>risks for handling furniture and effects during a removal and related precautions to control risks</w:t>
            </w:r>
          </w:p>
          <w:p w:rsidR="00000000" w:rsidRPr="009A6B15" w:rsidP="009A6B15">
            <w:pPr>
              <w:pStyle w:val="ListBullet"/>
            </w:pPr>
            <w:r w:rsidRPr="009A6B15">
              <w:t>specialised lifting equipment and procedures for its use</w:t>
            </w:r>
          </w:p>
          <w:p w:rsidR="00000000" w:rsidRPr="009A6B15" w:rsidP="009A6B15">
            <w:pPr>
              <w:pStyle w:val="ListBullet"/>
            </w:pPr>
            <w:r w:rsidRPr="009A6B15">
              <w:t>WHS/OHS procedures and guidelines for lifting and</w:t>
            </w:r>
            <w:r w:rsidRPr="009A6B15">
              <w:t xml:space="preserve"> moving loads</w:t>
            </w:r>
          </w:p>
          <w:p w:rsidR="00000000" w:rsidRPr="009A6B15" w:rsidP="009A6B15">
            <w:pPr>
              <w:pStyle w:val="ListBullet"/>
            </w:pPr>
            <w:r w:rsidRPr="009A6B15">
              <w:t>workplace procedures and policies for handling furniture and effects.</w:t>
            </w:r>
          </w:p>
        </w:tc>
      </w:tr>
    </w:tbl>
    <w:p w:rsidR="00000000" w:rsidRPr="009A6B15" w:rsidP="009A6B15">
      <w:pPr>
        <w:pStyle w:val="BodyText"/>
      </w:pPr>
    </w:p>
    <w:p w:rsidR="00000000" w:rsidRPr="009A6B15" w:rsidP="009A6B15">
      <w:pPr>
        <w:pStyle w:val="AllowPageBreak"/>
      </w:pPr>
    </w:p>
    <w:p w:rsidR="00000000" w:rsidRPr="009A6B15" w:rsidP="009A6B15">
      <w:pPr>
        <w:pStyle w:val="Heading1"/>
      </w:pPr>
      <w:bookmarkStart w:id="14" w:name="O_797697"/>
      <w:bookmarkEnd w:id="14"/>
      <w:r w:rsidRPr="009A6B1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27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B15" w:rsidP="009A6B15">
            <w:pPr>
              <w:pStyle w:val="BodyText"/>
            </w:pPr>
            <w:r w:rsidRPr="009A6B15">
              <w:t xml:space="preserve">As a minimum, assessors must satisfy applicable regulatory requirements, which include requirements in the </w:t>
            </w:r>
            <w:r w:rsidRPr="009A6B15">
              <w:rPr>
                <w:rStyle w:val="Emphasis"/>
              </w:rPr>
              <w:t>Standards for Registered Training Organisations</w:t>
            </w:r>
            <w:r w:rsidRPr="009A6B15">
              <w:t xml:space="preserve"> current at the time of assessment. </w:t>
            </w:r>
          </w:p>
          <w:p w:rsidR="00000000" w:rsidRPr="009A6B15" w:rsidP="009A6B15">
            <w:pPr>
              <w:pStyle w:val="BodyText"/>
            </w:pPr>
            <w:r w:rsidRPr="009A6B15">
              <w:t xml:space="preserve">As a minimum, assessment must satisfy applicable regulatory requirements, which include requirements in the </w:t>
            </w:r>
            <w:r w:rsidRPr="009A6B15">
              <w:rPr>
                <w:rStyle w:val="Emphasis"/>
              </w:rPr>
              <w:t>Standards for Registered Training Organisations</w:t>
            </w:r>
            <w:r w:rsidRPr="009A6B15">
              <w:t xml:space="preserve"> current at the t</w:t>
            </w:r>
            <w:r w:rsidRPr="009A6B15">
              <w:t>ime of assessment.</w:t>
            </w:r>
          </w:p>
          <w:p w:rsidR="00000000" w:rsidRPr="009A6B15" w:rsidP="009A6B15">
            <w:pPr>
              <w:pStyle w:val="BodyText"/>
            </w:pPr>
            <w:r w:rsidRPr="009A6B15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9A6B15" w:rsidP="009A6B15">
            <w:pPr>
              <w:pStyle w:val="BodyText"/>
            </w:pPr>
            <w:r w:rsidRPr="009A6B15">
              <w:t>Assessme</w:t>
            </w:r>
            <w:r w:rsidRPr="009A6B15">
              <w:t>nt processes and techniques must be appropriate to the language, literacy and numeracy requirements of the work being performed and the needs of the candidate.</w:t>
            </w:r>
          </w:p>
          <w:p w:rsidR="00000000" w:rsidRPr="009A6B15" w:rsidP="009A6B15">
            <w:pPr>
              <w:pStyle w:val="BodyText"/>
            </w:pPr>
            <w:r w:rsidRPr="009A6B15">
              <w:t>Resources for assessment include:</w:t>
            </w:r>
          </w:p>
          <w:p w:rsidR="00000000" w:rsidRPr="009A6B15" w:rsidP="009A6B15">
            <w:pPr>
              <w:pStyle w:val="ListBullet"/>
            </w:pPr>
            <w:r w:rsidRPr="009A6B15">
              <w:t>a range of relevant exercises, case studies and/or simulation</w:t>
            </w:r>
            <w:r w:rsidRPr="009A6B15">
              <w:t>s</w:t>
            </w:r>
          </w:p>
          <w:p w:rsidR="00000000" w:rsidRPr="009A6B15" w:rsidP="009A6B15">
            <w:pPr>
              <w:pStyle w:val="ListBullet"/>
            </w:pPr>
            <w:r w:rsidRPr="009A6B15">
              <w:t xml:space="preserve">applicable documentation including workplace procedures, regulations, codes of practice and operation manuals </w:t>
            </w:r>
          </w:p>
          <w:p w:rsidR="00000000" w:rsidRPr="009A6B15" w:rsidP="009A6B15">
            <w:pPr>
              <w:pStyle w:val="ListBullet"/>
            </w:pPr>
            <w:r w:rsidRPr="009A6B15">
              <w:t>relevant materials, tools, equipment and personal protective equipment currently used in industry.</w:t>
            </w:r>
          </w:p>
        </w:tc>
      </w:tr>
    </w:tbl>
    <w:p w:rsidR="00000000" w:rsidRPr="009A6B15" w:rsidP="009A6B15">
      <w:pPr>
        <w:pStyle w:val="BodyText"/>
      </w:pPr>
    </w:p>
    <w:p w:rsidR="00000000" w:rsidRPr="009A6B15" w:rsidP="009A6B15">
      <w:pPr>
        <w:pStyle w:val="AllowPageBreak"/>
      </w:pPr>
    </w:p>
    <w:p w:rsidR="00000000" w:rsidRPr="009A6B15" w:rsidP="009A6B15">
      <w:pPr>
        <w:pStyle w:val="Heading1"/>
      </w:pPr>
      <w:bookmarkStart w:id="15" w:name="O_797700"/>
      <w:bookmarkEnd w:id="15"/>
      <w:r w:rsidRPr="009A6B15">
        <w:t>Links</w:t>
      </w:r>
    </w:p>
    <w:p w:rsidR="00000000" w:rsidRPr="009A6B15" w:rsidP="00E22734">
      <w:pPr>
        <w:pStyle w:val="BodyText"/>
      </w:pPr>
      <w:r w:rsidRPr="009A6B15">
        <w:t>Compan</w:t>
      </w:r>
      <w:r w:rsidRPr="009A6B15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55F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A6B15" w:rsidP="009A6B15"/>
    <w:sectPr w:rsidSect="009A6B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15" w:rsidRPr="00E22734" w:rsidP="00E22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34" w:rsidP="009A6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734" w:rsidP="009A6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22734" w:rsidP="009A6B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15" w:rsidP="009A6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2734">
      <w:t>Approved</w:t>
    </w:r>
    <w:r w:rsidR="00E227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27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2734">
      <w:rPr>
        <w:noProof/>
      </w:rPr>
      <w:t>4</w:t>
    </w:r>
    <w:r>
      <w:rPr>
        <w:noProof/>
      </w:rPr>
      <w:fldChar w:fldCharType="end"/>
    </w:r>
  </w:p>
  <w:p w:rsidR="009A6B15" w:rsidP="009A6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27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2734">
      <w:t>Industry Skills Australia</w:t>
    </w:r>
    <w:r w:rsidR="00E22734">
      <w:fldChar w:fldCharType="end"/>
    </w:r>
  </w:p>
  <w:p w:rsidR="009A6B15" w:rsidP="009A6B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B15" w:rsidRPr="00E22734" w:rsidP="00E22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34" w:rsidRPr="002D2AF8" w:rsidP="009A6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TLID2018 Handle furniture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22734" w:rsidP="009A6B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B15" w:rsidRPr="002D2AF8" w:rsidP="009A6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2734">
      <w:t>TLID2018 Handle furniture and effects</w:t>
    </w:r>
    <w:r w:rsidR="00E227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2734">
      <w:rPr>
        <w:noProof/>
      </w:rPr>
      <w:t>1 March 2025</w:t>
    </w:r>
    <w:r>
      <w:fldChar w:fldCharType="end"/>
    </w:r>
  </w:p>
  <w:p w:rsidR="009A6B15" w:rsidP="009A6B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CE4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D85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B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B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B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B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B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B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B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B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B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B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B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B15"/>
  </w:style>
  <w:style w:type="character" w:customStyle="1" w:styleId="Heading1Char">
    <w:name w:val="Heading 1 Char"/>
    <w:basedOn w:val="DefaultParagraphFont"/>
    <w:link w:val="Heading1"/>
    <w:rsid w:val="009A6B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B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B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6B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B15"/>
    <w:rPr>
      <w:b/>
      <w:spacing w:val="0"/>
    </w:rPr>
  </w:style>
  <w:style w:type="character" w:styleId="Emphasis">
    <w:name w:val="Emphasis"/>
    <w:basedOn w:val="DefaultParagraphFont"/>
    <w:qFormat/>
    <w:rsid w:val="009A6B15"/>
    <w:rPr>
      <w:i/>
    </w:rPr>
  </w:style>
  <w:style w:type="paragraph" w:customStyle="1" w:styleId="SuperHeading">
    <w:name w:val="SuperHeading"/>
    <w:basedOn w:val="Normal"/>
    <w:rsid w:val="009A6B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B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6B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B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B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B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B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B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B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B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B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B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B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B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B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B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6B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6B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B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B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B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6B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6B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B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B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B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B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B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B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B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B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6B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B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B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B15"/>
  </w:style>
  <w:style w:type="paragraph" w:styleId="TableofFigures">
    <w:name w:val="table of figures"/>
    <w:basedOn w:val="Normal"/>
    <w:next w:val="Normal"/>
    <w:semiHidden/>
    <w:rsid w:val="009A6B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B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6B15"/>
    <w:rPr>
      <w:rFonts w:ascii="Wingdings" w:hAnsi="Wingdings"/>
    </w:rPr>
  </w:style>
  <w:style w:type="paragraph" w:customStyle="1" w:styleId="TableHeading">
    <w:name w:val="Table Heading"/>
    <w:basedOn w:val="HeadingBase"/>
    <w:rsid w:val="009A6B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B15"/>
    <w:rPr>
      <w:color w:val="0033CC"/>
      <w:u w:val="none"/>
    </w:rPr>
  </w:style>
  <w:style w:type="paragraph" w:customStyle="1" w:styleId="BodyTextRight">
    <w:name w:val="Body Text Right"/>
    <w:basedOn w:val="BodyText"/>
    <w:rsid w:val="009A6B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B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B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B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B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B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B15"/>
    <w:rPr>
      <w:sz w:val="32"/>
    </w:rPr>
  </w:style>
  <w:style w:type="paragraph" w:customStyle="1" w:styleId="HeadingProcedure">
    <w:name w:val="Heading Procedure"/>
    <w:basedOn w:val="HeadingBase"/>
    <w:next w:val="Normal"/>
    <w:rsid w:val="009A6B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B15"/>
    <w:pPr>
      <w:spacing w:before="60" w:after="60"/>
    </w:pPr>
  </w:style>
  <w:style w:type="paragraph" w:styleId="ListContinue">
    <w:name w:val="List Continue"/>
    <w:basedOn w:val="List"/>
    <w:rsid w:val="009A6B15"/>
    <w:pPr>
      <w:ind w:firstLine="0"/>
    </w:pPr>
  </w:style>
  <w:style w:type="paragraph" w:customStyle="1" w:styleId="ListNote">
    <w:name w:val="List Note"/>
    <w:basedOn w:val="List"/>
    <w:rsid w:val="009A6B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B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B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B15"/>
    <w:rPr>
      <w:rFonts w:ascii="Courier New" w:hAnsi="Courier New"/>
    </w:rPr>
  </w:style>
  <w:style w:type="paragraph" w:customStyle="1" w:styleId="NoteBullet">
    <w:name w:val="Note Bullet"/>
    <w:basedOn w:val="Note"/>
    <w:rsid w:val="009A6B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B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B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B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B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6B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B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B15"/>
    <w:rPr>
      <w:b/>
      <w:smallCaps/>
    </w:rPr>
  </w:style>
  <w:style w:type="paragraph" w:customStyle="1" w:styleId="TableListNumber">
    <w:name w:val="Table List Number"/>
    <w:basedOn w:val="ListNumber"/>
    <w:rsid w:val="009A6B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B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B15"/>
    <w:pPr>
      <w:numPr>
        <w:numId w:val="8"/>
      </w:numPr>
    </w:pPr>
  </w:style>
  <w:style w:type="paragraph" w:customStyle="1" w:styleId="ListAlpha2">
    <w:name w:val="List Alpha 2"/>
    <w:basedOn w:val="List2"/>
    <w:rsid w:val="009A6B15"/>
    <w:pPr>
      <w:numPr>
        <w:numId w:val="7"/>
      </w:numPr>
    </w:pPr>
  </w:style>
  <w:style w:type="paragraph" w:styleId="List2">
    <w:name w:val="List 2"/>
    <w:basedOn w:val="BodyText"/>
    <w:rsid w:val="009A6B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B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B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B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6B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6B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6B15"/>
    <w:pPr>
      <w:numPr>
        <w:numId w:val="3"/>
      </w:numPr>
    </w:pPr>
  </w:style>
  <w:style w:type="paragraph" w:styleId="ListContinue2">
    <w:name w:val="List Continue 2"/>
    <w:basedOn w:val="List2"/>
    <w:rsid w:val="009A6B15"/>
    <w:pPr>
      <w:ind w:firstLine="0"/>
    </w:pPr>
  </w:style>
  <w:style w:type="paragraph" w:styleId="ListContinue3">
    <w:name w:val="List Continue 3"/>
    <w:basedOn w:val="List3"/>
    <w:rsid w:val="009A6B15"/>
    <w:pPr>
      <w:ind w:left="1021" w:firstLine="0"/>
    </w:pPr>
  </w:style>
  <w:style w:type="paragraph" w:styleId="ListContinue4">
    <w:name w:val="List Continue 4"/>
    <w:basedOn w:val="List4"/>
    <w:rsid w:val="009A6B15"/>
    <w:pPr>
      <w:ind w:firstLine="0"/>
    </w:pPr>
  </w:style>
  <w:style w:type="paragraph" w:styleId="ListContinue5">
    <w:name w:val="List Continue 5"/>
    <w:basedOn w:val="List5"/>
    <w:rsid w:val="009A6B15"/>
    <w:pPr>
      <w:ind w:firstLine="0"/>
    </w:pPr>
  </w:style>
  <w:style w:type="paragraph" w:styleId="ListNumber3">
    <w:name w:val="List Number 3"/>
    <w:basedOn w:val="List3"/>
    <w:rsid w:val="009A6B15"/>
    <w:pPr>
      <w:numPr>
        <w:numId w:val="4"/>
      </w:numPr>
    </w:pPr>
  </w:style>
  <w:style w:type="paragraph" w:styleId="ListNumber4">
    <w:name w:val="List Number 4"/>
    <w:basedOn w:val="List4"/>
    <w:rsid w:val="009A6B15"/>
    <w:pPr>
      <w:numPr>
        <w:numId w:val="5"/>
      </w:numPr>
    </w:pPr>
  </w:style>
  <w:style w:type="paragraph" w:styleId="ListNumber5">
    <w:name w:val="List Number 5"/>
    <w:basedOn w:val="List5"/>
    <w:rsid w:val="009A6B15"/>
    <w:pPr>
      <w:numPr>
        <w:numId w:val="6"/>
      </w:numPr>
    </w:pPr>
  </w:style>
  <w:style w:type="paragraph" w:styleId="BlockText">
    <w:name w:val="Block Text"/>
    <w:basedOn w:val="Normal"/>
    <w:rsid w:val="009A6B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B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B15"/>
    <w:rPr>
      <w:sz w:val="16"/>
      <w:vertAlign w:val="superscript"/>
    </w:rPr>
  </w:style>
  <w:style w:type="character" w:customStyle="1" w:styleId="Symbols">
    <w:name w:val="Symbols"/>
    <w:basedOn w:val="DefaultParagraphFont"/>
    <w:rsid w:val="009A6B15"/>
    <w:rPr>
      <w:rFonts w:ascii="Symbol" w:hAnsi="Symbol"/>
    </w:rPr>
  </w:style>
  <w:style w:type="character" w:customStyle="1" w:styleId="MenuOptions">
    <w:name w:val="Menu Options"/>
    <w:basedOn w:val="DefaultParagraphFont"/>
    <w:rsid w:val="009A6B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B15"/>
    <w:rPr>
      <w:b/>
    </w:rPr>
  </w:style>
  <w:style w:type="character" w:customStyle="1" w:styleId="Underlined">
    <w:name w:val="Underlined"/>
    <w:basedOn w:val="DefaultParagraphFont"/>
    <w:rsid w:val="009A6B15"/>
    <w:rPr>
      <w:u w:val="single"/>
    </w:rPr>
  </w:style>
  <w:style w:type="paragraph" w:customStyle="1" w:styleId="TableBodyTextRight">
    <w:name w:val="Table Body Text Right"/>
    <w:basedOn w:val="TableBodyText"/>
    <w:rsid w:val="009A6B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B15"/>
    <w:rPr>
      <w:sz w:val="18"/>
    </w:rPr>
  </w:style>
  <w:style w:type="paragraph" w:customStyle="1" w:styleId="BodySmallRight">
    <w:name w:val="Body Small Right"/>
    <w:basedOn w:val="BodyTextRight"/>
    <w:rsid w:val="009A6B15"/>
    <w:rPr>
      <w:sz w:val="18"/>
      <w:szCs w:val="18"/>
    </w:rPr>
  </w:style>
  <w:style w:type="paragraph" w:customStyle="1" w:styleId="MarginEdition">
    <w:name w:val="Margin Edition"/>
    <w:basedOn w:val="MarginNote"/>
    <w:rsid w:val="009A6B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B15"/>
    <w:rPr>
      <w:sz w:val="2"/>
      <w:szCs w:val="2"/>
    </w:rPr>
  </w:style>
  <w:style w:type="character" w:customStyle="1" w:styleId="Small">
    <w:name w:val="Small"/>
    <w:basedOn w:val="DefaultParagraphFont"/>
    <w:rsid w:val="009A6B15"/>
    <w:rPr>
      <w:sz w:val="16"/>
    </w:rPr>
  </w:style>
  <w:style w:type="paragraph" w:customStyle="1" w:styleId="WideTable">
    <w:name w:val="Wide Table"/>
    <w:basedOn w:val="Normal"/>
    <w:rsid w:val="009A6B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B15"/>
  </w:style>
  <w:style w:type="paragraph" w:styleId="Quote">
    <w:name w:val="Quote"/>
    <w:basedOn w:val="Heading1"/>
    <w:link w:val="QuoteChar"/>
    <w:qFormat/>
    <w:rsid w:val="009A6B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B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B15"/>
    <w:pPr>
      <w:pageBreakBefore/>
    </w:pPr>
  </w:style>
  <w:style w:type="paragraph" w:customStyle="1" w:styleId="Border">
    <w:name w:val="Border"/>
    <w:basedOn w:val="Normal"/>
    <w:qFormat/>
    <w:rsid w:val="009A6B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B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B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B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B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B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B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B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B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B15"/>
    <w:rPr>
      <w:u w:val="single"/>
    </w:rPr>
  </w:style>
  <w:style w:type="character" w:customStyle="1" w:styleId="BoldandItalics">
    <w:name w:val="Bold and Italics"/>
    <w:qFormat/>
    <w:rsid w:val="009A6B15"/>
    <w:rPr>
      <w:b/>
      <w:i/>
      <w:u w:val="none"/>
    </w:rPr>
  </w:style>
  <w:style w:type="paragraph" w:styleId="BalloonText">
    <w:name w:val="Balloon Text"/>
    <w:basedOn w:val="Normal"/>
    <w:link w:val="BalloonTextChar"/>
    <w:rsid w:val="009A6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B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B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B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B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B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B15"/>
    <w:pPr>
      <w:spacing w:before="0" w:after="0"/>
    </w:pPr>
  </w:style>
  <w:style w:type="paragraph" w:customStyle="1" w:styleId="BodyTextBold">
    <w:name w:val="Body Text Bold"/>
    <w:basedOn w:val="BodyText"/>
    <w:qFormat/>
    <w:rsid w:val="009A6B15"/>
    <w:rPr>
      <w:b/>
    </w:rPr>
  </w:style>
  <w:style w:type="character" w:styleId="Hyperlink">
    <w:name w:val="Hyperlink"/>
    <w:basedOn w:val="DefaultParagraphFont"/>
    <w:uiPriority w:val="99"/>
    <w:unhideWhenUsed/>
    <w:rsid w:val="00E227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6064</Characters>
  <Application>Microsoft Office Word</Application>
  <DocSecurity>0</DocSecurity>
  <Lines>173</Lines>
  <Paragraphs>111</Paragraphs>
  <ScaleCrop>false</ScaleCrop>
  <Company>Author-it Software Corporation Ltd.</Company>
  <LinksUpToDate>false</LinksUpToDate>
  <CharactersWithSpaces>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TLID2018 Handle furniture and effects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