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BA1" w:rsidP="003A3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TLID2016 Load and unload explosives/dangerous goods</w:t>
      </w:r>
      <w:r>
        <w:fldChar w:fldCharType="end"/>
      </w:r>
    </w:p>
    <w:p w:rsidR="003A3BA1" w:rsidP="003A3BA1">
      <w:pPr>
        <w:pStyle w:val="Version"/>
        <w:sectPr w:rsidSect="005B4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E44" w:rsidP="005B4E44">
      <w:pPr>
        <w:pStyle w:val="SuperHeading"/>
      </w:pPr>
      <w:r w:rsidRPr="005B4E44">
        <w:t>TLID2016 Load and unload explosives/dangerous goods</w:t>
      </w:r>
    </w:p>
    <w:p w:rsidR="00000000" w:rsidRPr="005B4E44" w:rsidP="005B4E44">
      <w:pPr>
        <w:pStyle w:val="Heading1"/>
      </w:pPr>
      <w:bookmarkStart w:id="1" w:name="O_842690"/>
      <w:bookmarkEnd w:id="1"/>
      <w:r w:rsidRPr="005B4E44">
        <w:t>Modification History</w:t>
      </w:r>
    </w:p>
    <w:p w:rsidR="003A3BA1" w:rsidP="003A3BA1">
      <w:pPr>
        <w:pStyle w:val="BodyText"/>
      </w:pPr>
      <w:r w:rsidRPr="005B4E44">
        <w:t>Release 1. This is the first release of this unit of competency in the TLI Transport and Logistics Training Package.</w:t>
      </w:r>
    </w:p>
    <w:p w:rsidR="00000000" w:rsidRPr="005B4E44" w:rsidP="005B4E44">
      <w:pPr>
        <w:pStyle w:val="Heading1"/>
      </w:pPr>
      <w:bookmarkStart w:id="2" w:name="O_842691"/>
      <w:bookmarkEnd w:id="2"/>
      <w:r w:rsidRPr="005B4E4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B4E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44" w:rsidP="005B4E44">
            <w:pPr>
              <w:pStyle w:val="BodyText"/>
            </w:pPr>
            <w:r w:rsidRPr="005B4E44">
              <w:t>This unit involves the skills and knowledge required to load and unload explosiv</w:t>
            </w:r>
            <w:r w:rsidRPr="005B4E44">
              <w:t>es/dangerous goods in a range of operational situations, in accordance with relevant Australian and state/territory regulations including current Australian Dangerous Goods (ADG) Code, current Australian Code for the Transport of Explosives by Road and Rai</w:t>
            </w:r>
            <w:r w:rsidRPr="005B4E44">
              <w:t xml:space="preserve">l (AE Code), and mass and loading regulations. </w:t>
            </w:r>
          </w:p>
          <w:p w:rsidR="00000000" w:rsidRPr="005B4E44" w:rsidP="005B4E44">
            <w:pPr>
              <w:pStyle w:val="BodyText"/>
            </w:pPr>
            <w:r w:rsidRPr="005B4E44">
              <w:t>It includes identifying explosives/dangerous goods, loading and unloading explosives/dangerous goods using appropriate equipment, securing and protecting vehicle load, and checking vehicle to ensure load is s</w:t>
            </w:r>
            <w:r w:rsidRPr="005B4E44">
              <w:t>ecure and vehicle is marked in accordance with regulatory requirements.</w:t>
            </w:r>
          </w:p>
          <w:p w:rsidR="00000000" w:rsidRPr="005B4E44" w:rsidP="005B4E44">
            <w:pPr>
              <w:pStyle w:val="BodyText"/>
            </w:pPr>
            <w:r w:rsidRPr="005B4E44">
              <w:t xml:space="preserve">Work is performed under limited or minimum supervision. </w:t>
            </w:r>
          </w:p>
          <w:p w:rsidR="00000000" w:rsidRPr="005B4E44" w:rsidP="005B4E44">
            <w:pPr>
              <w:pStyle w:val="BodyText"/>
            </w:pPr>
            <w:r w:rsidRPr="005B4E44">
              <w:t>No licensing, legislative or certification requirements apply to this unit at the time of publication.</w:t>
            </w:r>
          </w:p>
        </w:tc>
      </w:tr>
    </w:tbl>
    <w:p w:rsidR="003A3BA1" w:rsidP="005B4E44">
      <w:pPr>
        <w:pStyle w:val="BodyText"/>
      </w:pPr>
    </w:p>
    <w:p w:rsidR="003A3BA1" w:rsidP="005B4E44">
      <w:pPr>
        <w:pStyle w:val="BodyText"/>
      </w:pPr>
    </w:p>
    <w:p w:rsidR="00000000" w:rsidRPr="005B4E44" w:rsidP="005B4E44">
      <w:pPr>
        <w:pStyle w:val="Heading1"/>
      </w:pPr>
      <w:bookmarkStart w:id="3" w:name="O_842692"/>
      <w:bookmarkEnd w:id="3"/>
      <w:r w:rsidRPr="005B4E44">
        <w:t>Pre-</w:t>
      </w:r>
      <w:r w:rsidRPr="005B4E44">
        <w:t>requisite Unit</w:t>
      </w:r>
    </w:p>
    <w:p w:rsidR="003A3BA1" w:rsidP="003A3BA1">
      <w:pPr>
        <w:pStyle w:val="BodyText"/>
      </w:pPr>
      <w:r w:rsidRPr="005B4E44">
        <w:t>Not applicable.</w:t>
      </w:r>
    </w:p>
    <w:p w:rsidR="00000000" w:rsidRPr="005B4E44" w:rsidP="005B4E44">
      <w:pPr>
        <w:pStyle w:val="Heading1"/>
      </w:pPr>
      <w:bookmarkStart w:id="4" w:name="O_842693"/>
      <w:bookmarkEnd w:id="4"/>
      <w:r w:rsidRPr="005B4E44">
        <w:t>Competency Field</w:t>
      </w:r>
    </w:p>
    <w:p w:rsidR="003A3BA1" w:rsidP="003A3BA1">
      <w:pPr>
        <w:pStyle w:val="BodyText"/>
      </w:pPr>
      <w:r w:rsidRPr="005B4E44">
        <w:t>D – Load Handling</w:t>
      </w:r>
    </w:p>
    <w:p w:rsidR="00000000" w:rsidRPr="005B4E44" w:rsidP="005B4E44">
      <w:pPr>
        <w:pStyle w:val="Heading1"/>
      </w:pPr>
      <w:bookmarkStart w:id="5" w:name="O_842694"/>
      <w:bookmarkEnd w:id="5"/>
      <w:r w:rsidRPr="005B4E44">
        <w:t>Unit Sector</w:t>
      </w:r>
    </w:p>
    <w:p w:rsidR="003A3BA1" w:rsidP="003A3BA1">
      <w:pPr>
        <w:pStyle w:val="BodyText"/>
      </w:pPr>
      <w:r w:rsidRPr="005B4E44">
        <w:t>Not applicable.</w:t>
      </w:r>
    </w:p>
    <w:p w:rsidR="00000000" w:rsidRPr="005B4E44" w:rsidP="005B4E44">
      <w:pPr>
        <w:pStyle w:val="Heading1"/>
      </w:pPr>
      <w:bookmarkStart w:id="6" w:name="O_842695"/>
      <w:bookmarkEnd w:id="6"/>
      <w:r w:rsidRPr="005B4E4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44" w:rsidP="005B4E44">
            <w:pPr>
              <w:pStyle w:val="BodyText"/>
            </w:pPr>
            <w:r w:rsidRPr="005B4E4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rPr>
                <w:rStyle w:val="SpecialBold"/>
              </w:rPr>
              <w:t>PERFORMANCE CRITERIA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Performance criteria describe the performance needed to demonstrate achievement of the element.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44" w:rsidP="005B4E44">
            <w:pPr>
              <w:pStyle w:val="BodyText"/>
            </w:pPr>
            <w:r w:rsidRPr="005B4E4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rPr>
                <w:rStyle w:val="SpecialBold"/>
              </w:rPr>
              <w:t>Prepare to load and unload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Explosives/dangerous goods are identified and their characteristics are taken into account in accordance with relev</w:t>
            </w:r>
            <w:r w:rsidRPr="005B4E44">
              <w:t xml:space="preserve">ant emergency procedures when determining appropriate handling, loading and storage procedures 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Job hazards are identified and required action is taken to minimise, control or eliminate identified hazards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Compatibility of explosives/dangerous goods is taken into account when assembling and segregating cargo for loading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Vehicle/loading equipment is checked to ensure it is suitable to handle/carry load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44" w:rsidP="005B4E44">
            <w:pPr>
              <w:pStyle w:val="BodyText"/>
            </w:pPr>
            <w:r w:rsidRPr="005B4E4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rPr>
                <w:rStyle w:val="SpecialBold"/>
              </w:rPr>
              <w:t>Load/unload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Vehicle is loaded/unloaded in accordance with workplace procedures and current ADG/AE Code as required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Load is segregated according to class and subsidiary risk, and load distribution is checked in accordance with workplace procedures, relevant mass</w:t>
            </w:r>
            <w:r w:rsidRPr="005B4E44">
              <w:t xml:space="preserve"> and loading regulations, and current ADG/AE Code as required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Personal protective equipment is used during loading/unloading operations as required for type of explosives/dangerous goods concerned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Emergency procedures are followed in an incident or accident when loading or unloading explosives and/or dangerous goods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44" w:rsidP="005B4E44">
            <w:pPr>
              <w:pStyle w:val="BodyText"/>
            </w:pPr>
            <w:r w:rsidRPr="005B4E4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rPr>
                <w:rStyle w:val="SpecialBold"/>
              </w:rPr>
              <w:t>Secure and protect vehicle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Vehicle load is secured using correct load restraint and protection equipment for different load</w:t>
            </w:r>
            <w:r w:rsidRPr="005B4E44">
              <w:t>s, vehicles and carriage conditions concerned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Load is protected in accordance with legal and workplace safety requirements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Load distribution is checked to ensure it is even, legal and within safe working capacity of vehicle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Vehicle is clearly marked/placarded to indicate carriage of explosives and/or dangerous goods, in accordance with government regulations and workplace procedures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44" w:rsidP="005B4E44">
            <w:pPr>
              <w:pStyle w:val="BodyText"/>
            </w:pPr>
            <w:r w:rsidRPr="005B4E4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rPr>
                <w:rStyle w:val="SpecialBold"/>
              </w:rPr>
              <w:t>Check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Loaded vehicle is inspected and checked to ensure it is suitable to carry</w:t>
            </w:r>
            <w:r w:rsidRPr="005B4E44">
              <w:t xml:space="preserve"> explosives/dangerous goods, and load </w:t>
            </w:r>
            <w:r w:rsidRPr="005B4E44">
              <w:t>weight and dimensions are within vehicle safe carrying capacity and equipment capability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Loaded vehicle is checked to ensure it can be safely parked and secured</w:t>
            </w:r>
          </w:p>
        </w:tc>
      </w:tr>
      <w:tr w:rsidTr="003A3B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44">
            <w:pPr>
              <w:pStyle w:val="BodyText"/>
              <w:rPr>
                <w:lang w:val="en-NZ"/>
              </w:rPr>
            </w:pPr>
            <w:r w:rsidRPr="005B4E4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44" w:rsidP="005B4E44">
            <w:pPr>
              <w:pStyle w:val="BodyText"/>
            </w:pPr>
            <w:r w:rsidRPr="005B4E44">
              <w:t>Dangerous goods declaration and required transportation documentation for cargo is completed in accordance with workplace requirements</w:t>
            </w:r>
          </w:p>
        </w:tc>
      </w:tr>
    </w:tbl>
    <w:p w:rsidR="003A3BA1" w:rsidP="005B4E44">
      <w:pPr>
        <w:pStyle w:val="BodyText"/>
      </w:pPr>
    </w:p>
    <w:p w:rsidR="003A3BA1" w:rsidP="005B4E44">
      <w:pPr>
        <w:pStyle w:val="BodyText"/>
      </w:pPr>
    </w:p>
    <w:p w:rsidR="00000000" w:rsidRPr="005B4E44" w:rsidP="005B4E44">
      <w:pPr>
        <w:pStyle w:val="Heading1"/>
      </w:pPr>
      <w:bookmarkStart w:id="7" w:name="O_842696"/>
      <w:bookmarkEnd w:id="7"/>
      <w:r w:rsidRPr="005B4E44">
        <w:t>Foundation Skills</w:t>
      </w:r>
    </w:p>
    <w:p w:rsidR="003A3BA1" w:rsidP="003A3BA1">
      <w:pPr>
        <w:pStyle w:val="BodyText"/>
      </w:pPr>
      <w:r w:rsidRPr="005B4E44">
        <w:t>Foundation skills essential to performance are explicit in</w:t>
      </w:r>
      <w:r w:rsidRPr="005B4E44">
        <w:t xml:space="preserve"> the performance criteria of this unit of competency.</w:t>
      </w:r>
    </w:p>
    <w:p w:rsidR="00000000" w:rsidRPr="005B4E44" w:rsidP="005B4E44">
      <w:pPr>
        <w:pStyle w:val="Heading1"/>
      </w:pPr>
      <w:bookmarkStart w:id="8" w:name="O_842697"/>
      <w:bookmarkEnd w:id="8"/>
      <w:r w:rsidRPr="005B4E44">
        <w:t>Range of Conditions</w:t>
      </w:r>
    </w:p>
    <w:p w:rsidR="00000000" w:rsidRPr="005B4E44" w:rsidP="003A3BA1">
      <w:pPr>
        <w:pStyle w:val="BodyText"/>
      </w:pPr>
      <w:r w:rsidRPr="005B4E44">
        <w:t>Range is restricted to essential operating conditions and any other variables essential to the work environment.</w:t>
      </w:r>
    </w:p>
    <w:p w:rsidR="003A3BA1" w:rsidP="003A3BA1">
      <w:pPr>
        <w:pStyle w:val="BodyText"/>
      </w:pPr>
      <w:r w:rsidRPr="005B4E44">
        <w:t>Non-essential conditions can be found in the Compan</w:t>
      </w:r>
      <w:r w:rsidRPr="005B4E44">
        <w:t>ion Volume Implementation Guide.</w:t>
      </w:r>
    </w:p>
    <w:p w:rsidR="00000000" w:rsidRPr="005B4E44" w:rsidP="005B4E44">
      <w:pPr>
        <w:pStyle w:val="Heading1"/>
      </w:pPr>
      <w:bookmarkStart w:id="9" w:name="O_842698"/>
      <w:bookmarkEnd w:id="9"/>
      <w:r w:rsidRPr="005B4E44">
        <w:t>Unit Mapping Information</w:t>
      </w:r>
    </w:p>
    <w:p w:rsidR="003A3BA1" w:rsidP="003A3BA1">
      <w:pPr>
        <w:pStyle w:val="BodyText"/>
      </w:pPr>
      <w:r w:rsidRPr="005B4E44">
        <w:t>This unit replaces and is equivalent to TLID2016A Load and unload explosives and dangerous goods.</w:t>
      </w:r>
    </w:p>
    <w:p w:rsidR="00000000" w:rsidRPr="005B4E44" w:rsidP="005B4E44">
      <w:pPr>
        <w:pStyle w:val="Heading1"/>
      </w:pPr>
      <w:bookmarkStart w:id="10" w:name="O_842705"/>
      <w:bookmarkEnd w:id="10"/>
      <w:r w:rsidRPr="005B4E44">
        <w:t>Links</w:t>
      </w:r>
    </w:p>
    <w:p w:rsidR="00000000" w:rsidRPr="005B4E44" w:rsidP="003A3BA1">
      <w:pPr>
        <w:pStyle w:val="BodyText"/>
      </w:pPr>
      <w:r w:rsidRPr="005B4E44">
        <w:t>Companion Volume implementation guides are found in VETNet</w:t>
      </w:r>
      <w:r w:rsidRPr="005B4E44">
        <w:t xml:space="preserve">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7B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4E44" w:rsidP="005B4E44"/>
    <w:sectPr w:rsidSect="005B4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44" w:rsidRPr="003A3BA1" w:rsidP="003A3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A1" w:rsidP="005B4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BA1" w:rsidP="005B4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3BA1" w:rsidP="005B4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E44" w:rsidRPr="003A3BA1" w:rsidP="003A3B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A1" w:rsidRPr="002D2AF8" w:rsidP="005B4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TLID2016 Load and unload explosives/dangerous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A3BA1" w:rsidP="005B4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E44"/>
  </w:style>
  <w:style w:type="character" w:customStyle="1" w:styleId="Heading1Char">
    <w:name w:val="Heading 1 Char"/>
    <w:basedOn w:val="DefaultParagraphFont"/>
    <w:link w:val="Heading1"/>
    <w:rsid w:val="005B4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E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4E44"/>
    <w:rPr>
      <w:b/>
      <w:spacing w:val="0"/>
    </w:rPr>
  </w:style>
  <w:style w:type="paragraph" w:customStyle="1" w:styleId="SuperHeading">
    <w:name w:val="SuperHeading"/>
    <w:basedOn w:val="Normal"/>
    <w:rsid w:val="005B4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E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E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4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E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E44"/>
    <w:rPr>
      <w:i/>
    </w:rPr>
  </w:style>
  <w:style w:type="paragraph" w:styleId="Caption">
    <w:name w:val="caption"/>
    <w:basedOn w:val="BodyText"/>
    <w:next w:val="Normal"/>
    <w:qFormat/>
    <w:rsid w:val="005B4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E44"/>
  </w:style>
  <w:style w:type="paragraph" w:styleId="TableofFigures">
    <w:name w:val="table of figures"/>
    <w:basedOn w:val="Normal"/>
    <w:next w:val="Normal"/>
    <w:semiHidden/>
    <w:rsid w:val="005B4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E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4E44"/>
    <w:rPr>
      <w:rFonts w:ascii="Wingdings" w:hAnsi="Wingdings"/>
    </w:rPr>
  </w:style>
  <w:style w:type="paragraph" w:customStyle="1" w:styleId="TableHeading">
    <w:name w:val="Table Heading"/>
    <w:basedOn w:val="HeadingBase"/>
    <w:rsid w:val="005B4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E44"/>
    <w:rPr>
      <w:color w:val="0033CC"/>
      <w:u w:val="none"/>
    </w:rPr>
  </w:style>
  <w:style w:type="paragraph" w:customStyle="1" w:styleId="BodyTextRight">
    <w:name w:val="Body Text Right"/>
    <w:basedOn w:val="BodyText"/>
    <w:rsid w:val="005B4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E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E44"/>
    <w:rPr>
      <w:sz w:val="32"/>
    </w:rPr>
  </w:style>
  <w:style w:type="paragraph" w:customStyle="1" w:styleId="HeadingProcedure">
    <w:name w:val="Heading Procedure"/>
    <w:basedOn w:val="HeadingBase"/>
    <w:next w:val="Normal"/>
    <w:rsid w:val="005B4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E44"/>
    <w:pPr>
      <w:spacing w:before="60" w:after="60"/>
    </w:pPr>
  </w:style>
  <w:style w:type="paragraph" w:styleId="ListContinue">
    <w:name w:val="List Continue"/>
    <w:basedOn w:val="List"/>
    <w:rsid w:val="005B4E44"/>
    <w:pPr>
      <w:ind w:firstLine="0"/>
    </w:pPr>
  </w:style>
  <w:style w:type="paragraph" w:customStyle="1" w:styleId="ListNote">
    <w:name w:val="List Note"/>
    <w:basedOn w:val="List"/>
    <w:rsid w:val="005B4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E44"/>
    <w:rPr>
      <w:rFonts w:ascii="Courier New" w:hAnsi="Courier New"/>
    </w:rPr>
  </w:style>
  <w:style w:type="paragraph" w:customStyle="1" w:styleId="NoteBullet">
    <w:name w:val="Note Bullet"/>
    <w:basedOn w:val="Note"/>
    <w:rsid w:val="005B4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E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4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E44"/>
    <w:rPr>
      <w:b/>
      <w:smallCaps/>
    </w:rPr>
  </w:style>
  <w:style w:type="paragraph" w:customStyle="1" w:styleId="TableListNumber">
    <w:name w:val="Table List Number"/>
    <w:basedOn w:val="ListNumber"/>
    <w:rsid w:val="005B4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E44"/>
    <w:pPr>
      <w:numPr>
        <w:numId w:val="7"/>
      </w:numPr>
    </w:pPr>
  </w:style>
  <w:style w:type="paragraph" w:customStyle="1" w:styleId="ListAlpha2">
    <w:name w:val="List Alpha 2"/>
    <w:basedOn w:val="List2"/>
    <w:rsid w:val="005B4E44"/>
    <w:pPr>
      <w:numPr>
        <w:numId w:val="6"/>
      </w:numPr>
    </w:pPr>
  </w:style>
  <w:style w:type="paragraph" w:styleId="List2">
    <w:name w:val="List 2"/>
    <w:basedOn w:val="BodyText"/>
    <w:rsid w:val="005B4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E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E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4E44"/>
    <w:pPr>
      <w:numPr>
        <w:numId w:val="2"/>
      </w:numPr>
    </w:pPr>
  </w:style>
  <w:style w:type="paragraph" w:styleId="ListContinue2">
    <w:name w:val="List Continue 2"/>
    <w:basedOn w:val="List2"/>
    <w:rsid w:val="005B4E44"/>
    <w:pPr>
      <w:ind w:firstLine="0"/>
    </w:pPr>
  </w:style>
  <w:style w:type="paragraph" w:styleId="ListContinue3">
    <w:name w:val="List Continue 3"/>
    <w:basedOn w:val="List3"/>
    <w:rsid w:val="005B4E44"/>
    <w:pPr>
      <w:ind w:left="1021" w:firstLine="0"/>
    </w:pPr>
  </w:style>
  <w:style w:type="paragraph" w:styleId="ListContinue4">
    <w:name w:val="List Continue 4"/>
    <w:basedOn w:val="List4"/>
    <w:rsid w:val="005B4E44"/>
    <w:pPr>
      <w:ind w:firstLine="0"/>
    </w:pPr>
  </w:style>
  <w:style w:type="paragraph" w:styleId="ListContinue5">
    <w:name w:val="List Continue 5"/>
    <w:basedOn w:val="List5"/>
    <w:rsid w:val="005B4E44"/>
    <w:pPr>
      <w:ind w:firstLine="0"/>
    </w:pPr>
  </w:style>
  <w:style w:type="paragraph" w:styleId="ListNumber3">
    <w:name w:val="List Number 3"/>
    <w:basedOn w:val="List3"/>
    <w:rsid w:val="005B4E44"/>
    <w:pPr>
      <w:numPr>
        <w:numId w:val="3"/>
      </w:numPr>
    </w:pPr>
  </w:style>
  <w:style w:type="paragraph" w:styleId="ListNumber4">
    <w:name w:val="List Number 4"/>
    <w:basedOn w:val="List4"/>
    <w:rsid w:val="005B4E44"/>
    <w:pPr>
      <w:numPr>
        <w:numId w:val="4"/>
      </w:numPr>
    </w:pPr>
  </w:style>
  <w:style w:type="paragraph" w:styleId="ListNumber5">
    <w:name w:val="List Number 5"/>
    <w:basedOn w:val="List5"/>
    <w:rsid w:val="005B4E44"/>
    <w:pPr>
      <w:numPr>
        <w:numId w:val="5"/>
      </w:numPr>
    </w:pPr>
  </w:style>
  <w:style w:type="paragraph" w:styleId="BlockText">
    <w:name w:val="Block Text"/>
    <w:basedOn w:val="Normal"/>
    <w:rsid w:val="005B4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E44"/>
    <w:rPr>
      <w:sz w:val="16"/>
      <w:vertAlign w:val="superscript"/>
    </w:rPr>
  </w:style>
  <w:style w:type="character" w:customStyle="1" w:styleId="Symbols">
    <w:name w:val="Symbols"/>
    <w:basedOn w:val="DefaultParagraphFont"/>
    <w:rsid w:val="005B4E44"/>
    <w:rPr>
      <w:rFonts w:ascii="Symbol" w:hAnsi="Symbol"/>
    </w:rPr>
  </w:style>
  <w:style w:type="character" w:customStyle="1" w:styleId="MenuOptions">
    <w:name w:val="Menu Options"/>
    <w:basedOn w:val="DefaultParagraphFont"/>
    <w:rsid w:val="005B4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E44"/>
    <w:rPr>
      <w:b/>
    </w:rPr>
  </w:style>
  <w:style w:type="character" w:customStyle="1" w:styleId="Underlined">
    <w:name w:val="Underlined"/>
    <w:basedOn w:val="DefaultParagraphFont"/>
    <w:rsid w:val="005B4E44"/>
    <w:rPr>
      <w:u w:val="single"/>
    </w:rPr>
  </w:style>
  <w:style w:type="paragraph" w:customStyle="1" w:styleId="TableBodyTextRight">
    <w:name w:val="Table Body Text Right"/>
    <w:basedOn w:val="TableBodyText"/>
    <w:rsid w:val="005B4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E44"/>
    <w:rPr>
      <w:sz w:val="18"/>
    </w:rPr>
  </w:style>
  <w:style w:type="paragraph" w:customStyle="1" w:styleId="BodySmallRight">
    <w:name w:val="Body Small Right"/>
    <w:basedOn w:val="BodyTextRight"/>
    <w:rsid w:val="005B4E44"/>
    <w:rPr>
      <w:sz w:val="18"/>
      <w:szCs w:val="18"/>
    </w:rPr>
  </w:style>
  <w:style w:type="paragraph" w:customStyle="1" w:styleId="MarginEdition">
    <w:name w:val="Margin Edition"/>
    <w:basedOn w:val="MarginNote"/>
    <w:rsid w:val="005B4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E44"/>
    <w:rPr>
      <w:sz w:val="2"/>
      <w:szCs w:val="2"/>
    </w:rPr>
  </w:style>
  <w:style w:type="character" w:customStyle="1" w:styleId="Small">
    <w:name w:val="Small"/>
    <w:basedOn w:val="DefaultParagraphFont"/>
    <w:rsid w:val="005B4E44"/>
    <w:rPr>
      <w:sz w:val="16"/>
    </w:rPr>
  </w:style>
  <w:style w:type="paragraph" w:customStyle="1" w:styleId="WideTable">
    <w:name w:val="Wide Table"/>
    <w:basedOn w:val="Normal"/>
    <w:rsid w:val="005B4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E44"/>
  </w:style>
  <w:style w:type="paragraph" w:styleId="Quote">
    <w:name w:val="Quote"/>
    <w:basedOn w:val="Heading1"/>
    <w:link w:val="QuoteChar"/>
    <w:qFormat/>
    <w:rsid w:val="005B4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E44"/>
    <w:pPr>
      <w:pageBreakBefore/>
    </w:pPr>
  </w:style>
  <w:style w:type="paragraph" w:customStyle="1" w:styleId="Border">
    <w:name w:val="Border"/>
    <w:basedOn w:val="Normal"/>
    <w:qFormat/>
    <w:rsid w:val="005B4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E44"/>
    <w:rPr>
      <w:u w:val="single"/>
    </w:rPr>
  </w:style>
  <w:style w:type="character" w:customStyle="1" w:styleId="BoldandItalics">
    <w:name w:val="Bold and Italics"/>
    <w:qFormat/>
    <w:rsid w:val="005B4E44"/>
    <w:rPr>
      <w:b/>
      <w:i/>
      <w:u w:val="none"/>
    </w:rPr>
  </w:style>
  <w:style w:type="paragraph" w:styleId="BalloonText">
    <w:name w:val="Balloon Text"/>
    <w:basedOn w:val="Normal"/>
    <w:link w:val="BalloonTextChar"/>
    <w:rsid w:val="005B4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E44"/>
    <w:pPr>
      <w:spacing w:before="0" w:after="0"/>
    </w:pPr>
  </w:style>
  <w:style w:type="paragraph" w:customStyle="1" w:styleId="BodyTextBold">
    <w:name w:val="Body Text Bold"/>
    <w:basedOn w:val="BodyText"/>
    <w:qFormat/>
    <w:rsid w:val="005B4E44"/>
    <w:rPr>
      <w:b/>
    </w:rPr>
  </w:style>
  <w:style w:type="character" w:styleId="Hyperlink">
    <w:name w:val="Hyperlink"/>
    <w:basedOn w:val="DefaultParagraphFont"/>
    <w:uiPriority w:val="99"/>
    <w:unhideWhenUsed/>
    <w:rsid w:val="003A3B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3774</Characters>
  <Application>Microsoft Office Word</Application>
  <DocSecurity>0</DocSecurity>
  <Lines>157</Lines>
  <Paragraphs>82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TLID2016 Load and unload explosives/dangerous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