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5BE" w:rsidP="00F96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TLID2012 Operate specialised load shifting equipment</w:t>
      </w:r>
      <w:r>
        <w:fldChar w:fldCharType="end"/>
      </w:r>
    </w:p>
    <w:p w:rsidR="00F965BE" w:rsidP="00F965BE">
      <w:pPr>
        <w:pStyle w:val="Version"/>
        <w:sectPr w:rsidSect="00AC3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583" w:rsidP="00AC3583">
      <w:pPr>
        <w:pStyle w:val="SuperHeading"/>
      </w:pPr>
      <w:r w:rsidRPr="00AC3583">
        <w:t>TLID2012 Operate specialised load shifting equipment</w:t>
      </w:r>
    </w:p>
    <w:p w:rsidR="00000000" w:rsidRPr="00AC3583" w:rsidP="00AC3583">
      <w:pPr>
        <w:pStyle w:val="Heading1"/>
      </w:pPr>
      <w:bookmarkStart w:id="1" w:name="O_842372"/>
      <w:bookmarkEnd w:id="1"/>
      <w:r w:rsidRPr="00AC3583">
        <w:t>Modification History</w:t>
      </w:r>
    </w:p>
    <w:p w:rsidR="00F965BE" w:rsidP="00F965BE">
      <w:pPr>
        <w:pStyle w:val="BodyText"/>
      </w:pPr>
      <w:r w:rsidRPr="00AC3583">
        <w:t>Release 1. This is the first release of this unit of competency in the TLI Transport and Logistics Training Package.</w:t>
      </w:r>
    </w:p>
    <w:p w:rsidR="00000000" w:rsidRPr="00AC3583" w:rsidP="00AC3583">
      <w:pPr>
        <w:pStyle w:val="Heading1"/>
      </w:pPr>
      <w:bookmarkStart w:id="2" w:name="O_842373"/>
      <w:bookmarkEnd w:id="2"/>
      <w:r w:rsidRPr="00AC358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C35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t>This unit involves the skills and knowledge required to operate specialised load</w:t>
            </w:r>
            <w:r w:rsidRPr="00AC3583">
              <w:t xml:space="preserve"> shifting equipment in accordance with codes, permits, workplace requirements and relevant regulatory requirements, as part of work undertaken in the stevedoring, transport, warehousing and logistics industries. </w:t>
            </w:r>
          </w:p>
          <w:p w:rsidR="00000000" w:rsidRPr="00AC3583" w:rsidP="00AC3583">
            <w:pPr>
              <w:pStyle w:val="BodyText"/>
            </w:pPr>
            <w:r w:rsidRPr="00AC3583">
              <w:t>It includes planning work for current worki</w:t>
            </w:r>
            <w:r w:rsidRPr="00AC3583">
              <w:t>ng conditions; using controls and equipment operating systems to manage moving the unit and accessory operations; locating load and identifying load characteristics; moving materials and loads; monitoring and operating controls; and stopping, parking and s</w:t>
            </w:r>
            <w:r w:rsidRPr="00AC3583">
              <w:t>ecuring equipment after operation.</w:t>
            </w:r>
          </w:p>
          <w:p w:rsidR="00000000" w:rsidRPr="00AC3583" w:rsidP="00AC3583">
            <w:pPr>
              <w:pStyle w:val="BodyText"/>
            </w:pPr>
            <w:r w:rsidRPr="00AC3583">
              <w:t>Safety checks and equipment tests are performed under limited supervision.</w:t>
            </w:r>
          </w:p>
          <w:p w:rsidR="00000000" w:rsidRPr="00AC3583" w:rsidP="00AC3583">
            <w:pPr>
              <w:pStyle w:val="BodyText"/>
            </w:pPr>
            <w:r w:rsidRPr="00AC3583">
              <w:t>No licensing, legislative or certification requirements apply to this unit at the time of publication.</w:t>
            </w:r>
          </w:p>
        </w:tc>
      </w:tr>
    </w:tbl>
    <w:p w:rsidR="00F965BE" w:rsidP="00AC3583">
      <w:pPr>
        <w:pStyle w:val="BodyText"/>
      </w:pPr>
    </w:p>
    <w:p w:rsidR="00F965BE" w:rsidP="00AC3583">
      <w:pPr>
        <w:pStyle w:val="BodyText"/>
      </w:pPr>
    </w:p>
    <w:p w:rsidR="00000000" w:rsidRPr="00AC3583" w:rsidP="00AC3583">
      <w:pPr>
        <w:pStyle w:val="Heading1"/>
      </w:pPr>
      <w:bookmarkStart w:id="3" w:name="O_842374"/>
      <w:bookmarkEnd w:id="3"/>
      <w:r w:rsidRPr="00AC3583">
        <w:t>Pre-requisite Unit</w:t>
      </w:r>
    </w:p>
    <w:p w:rsidR="00F965BE" w:rsidP="00F965BE">
      <w:pPr>
        <w:pStyle w:val="BodyText"/>
      </w:pPr>
      <w:r w:rsidRPr="00AC3583">
        <w:t xml:space="preserve">Not </w:t>
      </w:r>
      <w:r w:rsidRPr="00AC3583">
        <w:t>applicable.</w:t>
      </w:r>
    </w:p>
    <w:p w:rsidR="00000000" w:rsidRPr="00AC3583" w:rsidP="00AC3583">
      <w:pPr>
        <w:pStyle w:val="Heading1"/>
      </w:pPr>
      <w:bookmarkStart w:id="4" w:name="O_842375"/>
      <w:bookmarkEnd w:id="4"/>
      <w:r w:rsidRPr="00AC3583">
        <w:t>Competency Field</w:t>
      </w:r>
    </w:p>
    <w:p w:rsidR="00F965BE" w:rsidP="00F965BE">
      <w:pPr>
        <w:pStyle w:val="BodyText"/>
      </w:pPr>
      <w:r w:rsidRPr="00AC3583">
        <w:t>D – Load Handling</w:t>
      </w:r>
    </w:p>
    <w:p w:rsidR="00000000" w:rsidRPr="00AC3583" w:rsidP="00AC3583">
      <w:pPr>
        <w:pStyle w:val="Heading1"/>
      </w:pPr>
      <w:bookmarkStart w:id="5" w:name="O_842376"/>
      <w:bookmarkEnd w:id="5"/>
      <w:r w:rsidRPr="00AC3583">
        <w:t>Unit Sector</w:t>
      </w:r>
    </w:p>
    <w:p w:rsidR="00F965BE" w:rsidP="00F965BE">
      <w:pPr>
        <w:pStyle w:val="BodyText"/>
      </w:pPr>
      <w:r w:rsidRPr="00AC3583">
        <w:t>Not applicable.</w:t>
      </w:r>
    </w:p>
    <w:p w:rsidR="00000000" w:rsidRPr="00AC3583" w:rsidP="00AC3583">
      <w:pPr>
        <w:pStyle w:val="Heading1"/>
      </w:pPr>
      <w:bookmarkStart w:id="6" w:name="O_842377"/>
      <w:bookmarkEnd w:id="6"/>
      <w:r w:rsidRPr="00AC358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PERFORMANCE CRITERIA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Performance criteria describe the performance needed to demonstrate achievement of the element.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Plan work for current working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Job hazards are identified and required action is taken to minimise, control or eliminate identified hazards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Traffic flow and work area conditions are constantly assessed and anticipated to ensure no injury to people, or damage to equipment, loads or facilities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Load characteristics are taken into account to ensure appropriate attachments are used to t</w:t>
            </w:r>
            <w:r w:rsidRPr="00AC3583">
              <w:t>ransport load as required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Safe working load (SWL) or working load limit (WLL) is calculated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Occurrences in work area that affect safety and efficiency of operations are reported to appropriate personnel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Use controls and equipment operating systems to manage moving unit and accessory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is prepared and appropriate attachment is fitted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Gear and operational levers are checked to ensure they are in neutral position prior to insert</w:t>
            </w:r>
            <w:r w:rsidRPr="00AC3583">
              <w:t>ing ignition key and starting engine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Engine is started in accordance with manufacturer guidelines to bring engine up to speed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Instruments and gauges are monitored during start up and operations to ensure operation is within manufacturer specifications and workplace procedures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Engine power is managed to ensure efficiency of equipment movement and economy of equipment operat</w:t>
            </w:r>
            <w:r w:rsidRPr="00AC3583">
              <w:t>ions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operations are conducted in accordance with manufacturer specified torque range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Faults or damage to equipment are immediately reported to appropriate personnel in accordance with workplace procedures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Locate load and identify load characteristics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Load is located and identified in accordance with workplace procedures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Loading and unloading plans are followed to ensure efficiency and safety of operations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 xml:space="preserve">Load characteristics are taken into account to ensure appropriate loading and unloading workplace procedures are </w:t>
            </w:r>
            <w:r w:rsidRPr="00AC3583">
              <w:t>followed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Hazardous goods are identified and relevant procedures are taken into account when planning and conducting work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Load wei</w:t>
            </w:r>
            <w:r w:rsidRPr="00AC3583">
              <w:t xml:space="preserve">ght and dimensions are established within equipment capacity 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Move materials and loads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is manoeuvred and positioned using smooth and controlled movements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Manoeuvres are made within equipment limits and in accordance with manufacturer specifications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Materials are moved ensuring no injury to personnel or damage to equipment or goods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Monitor and operate controls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controls are monitored a</w:t>
            </w:r>
            <w:r w:rsidRPr="00AC3583">
              <w:t>nd operated in accordance with manufacturer operating instructions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Control systems are interpreted and acted on in accordance with statutory authority regulations, manufacturer guidelines and site workplace procedures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Control faults are identified and reported in accordance with manufacturer instructions and workplace guidelines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rPr>
                <w:rStyle w:val="SpecialBold"/>
              </w:rPr>
              <w:t>Stop, park and secure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is brought to a controlled halt in accordance with manufacturer guidelines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is parked without injury to personnel or damage to equipment, loads or facilities in accordance with company procedures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Equipment is secured on a flat, even surface, clear of doorways, aisles, access ways or blind corners in accordance wit</w:t>
            </w:r>
            <w:r w:rsidRPr="00AC3583">
              <w:t>h securing procedures for appropriate equipment</w:t>
            </w:r>
          </w:p>
        </w:tc>
      </w:tr>
      <w:tr w:rsidTr="00F96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83">
            <w:pPr>
              <w:pStyle w:val="BodyText"/>
              <w:rPr>
                <w:lang w:val="en-NZ"/>
              </w:rPr>
            </w:pPr>
            <w:r w:rsidRPr="00AC3583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83" w:rsidP="00AC3583">
            <w:pPr>
              <w:pStyle w:val="BodyText"/>
            </w:pPr>
            <w:r w:rsidRPr="00AC3583">
              <w:t>Problems, faults or malfunctions are reported and/or rectified in accordance with regulatory requirements and workplace procedures</w:t>
            </w:r>
          </w:p>
        </w:tc>
      </w:tr>
    </w:tbl>
    <w:p w:rsidR="00F965BE" w:rsidP="00AC3583">
      <w:pPr>
        <w:pStyle w:val="BodyText"/>
      </w:pPr>
    </w:p>
    <w:p w:rsidR="00F965BE" w:rsidP="00AC3583">
      <w:pPr>
        <w:pStyle w:val="BodyText"/>
      </w:pPr>
    </w:p>
    <w:p w:rsidR="00000000" w:rsidRPr="00AC3583" w:rsidP="00AC3583">
      <w:pPr>
        <w:pStyle w:val="Heading1"/>
      </w:pPr>
      <w:bookmarkStart w:id="7" w:name="O_842378"/>
      <w:bookmarkEnd w:id="7"/>
      <w:r w:rsidRPr="00AC3583">
        <w:t>Foundation Skills</w:t>
      </w:r>
    </w:p>
    <w:p w:rsidR="00F965BE" w:rsidP="00F965BE">
      <w:pPr>
        <w:pStyle w:val="BodyText"/>
      </w:pPr>
      <w:r w:rsidRPr="00AC3583">
        <w:t xml:space="preserve">Foundation skills </w:t>
      </w:r>
      <w:r w:rsidRPr="00AC3583">
        <w:t>essential to performance are explicit in the performance criteria of this unit of competency.</w:t>
      </w:r>
    </w:p>
    <w:p w:rsidR="00000000" w:rsidRPr="00AC3583" w:rsidP="00AC3583">
      <w:pPr>
        <w:pStyle w:val="Heading1"/>
      </w:pPr>
      <w:bookmarkStart w:id="8" w:name="O_842379"/>
      <w:bookmarkEnd w:id="8"/>
      <w:r w:rsidRPr="00AC3583">
        <w:t>Range of Conditions</w:t>
      </w:r>
    </w:p>
    <w:p w:rsidR="00000000" w:rsidRPr="00AC3583" w:rsidP="00F965BE">
      <w:pPr>
        <w:pStyle w:val="BodyText"/>
      </w:pPr>
      <w:r w:rsidRPr="00AC3583">
        <w:t>Range is restricted to essential operating conditions and any other variables essential to the work environment.</w:t>
      </w:r>
    </w:p>
    <w:p w:rsidR="00F965BE" w:rsidP="00F965BE">
      <w:pPr>
        <w:pStyle w:val="BodyText"/>
      </w:pPr>
      <w:r w:rsidRPr="00AC3583">
        <w:t>Non-essenti</w:t>
      </w:r>
      <w:r w:rsidRPr="00AC3583">
        <w:t>al conditions can be found in the Companion Volume Implementation Guide.</w:t>
      </w:r>
    </w:p>
    <w:p w:rsidR="00000000" w:rsidRPr="00AC3583" w:rsidP="00AC3583">
      <w:pPr>
        <w:pStyle w:val="Heading1"/>
      </w:pPr>
      <w:bookmarkStart w:id="9" w:name="O_842380"/>
      <w:bookmarkEnd w:id="9"/>
      <w:r w:rsidRPr="00AC3583">
        <w:t>Unit Mapping Information</w:t>
      </w:r>
    </w:p>
    <w:p w:rsidR="00F965BE" w:rsidP="00F965BE">
      <w:pPr>
        <w:pStyle w:val="BodyText"/>
      </w:pPr>
      <w:r w:rsidRPr="00AC3583">
        <w:t>This unit replaces and is equivalent to TLID2012A Operate specialised load shifting equipment.</w:t>
      </w:r>
    </w:p>
    <w:p w:rsidR="00000000" w:rsidRPr="00AC3583" w:rsidP="00AC3583">
      <w:pPr>
        <w:pStyle w:val="Heading1"/>
      </w:pPr>
      <w:bookmarkStart w:id="10" w:name="O_842387"/>
      <w:bookmarkEnd w:id="10"/>
      <w:r w:rsidRPr="00AC3583">
        <w:t>Links</w:t>
      </w:r>
    </w:p>
    <w:p w:rsidR="00000000" w:rsidRPr="00AC3583" w:rsidP="00F965BE">
      <w:pPr>
        <w:pStyle w:val="BodyText"/>
      </w:pPr>
      <w:r w:rsidRPr="00AC3583">
        <w:t>Companion Volume impl</w:t>
      </w:r>
      <w:r w:rsidRPr="00AC358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330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3583" w:rsidP="00AC3583"/>
    <w:sectPr w:rsidSect="00AC3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83" w:rsidRPr="00F965BE" w:rsidP="00F96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BE" w:rsidP="00AC3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5BE" w:rsidP="00AC3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65BE" w:rsidP="00AC3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583" w:rsidRPr="00F965BE" w:rsidP="00F96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BE" w:rsidRPr="002D2AF8" w:rsidP="00AC3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TLID2012 Operate specialised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965BE" w:rsidP="00AC3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583"/>
  </w:style>
  <w:style w:type="character" w:customStyle="1" w:styleId="Heading1Char">
    <w:name w:val="Heading 1 Char"/>
    <w:basedOn w:val="DefaultParagraphFont"/>
    <w:link w:val="Heading1"/>
    <w:rsid w:val="00AC3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5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3583"/>
    <w:rPr>
      <w:b/>
      <w:spacing w:val="0"/>
    </w:rPr>
  </w:style>
  <w:style w:type="paragraph" w:customStyle="1" w:styleId="SuperHeading">
    <w:name w:val="SuperHeading"/>
    <w:basedOn w:val="Normal"/>
    <w:rsid w:val="00AC3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5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5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35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3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5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583"/>
    <w:rPr>
      <w:i/>
    </w:rPr>
  </w:style>
  <w:style w:type="paragraph" w:styleId="Caption">
    <w:name w:val="caption"/>
    <w:basedOn w:val="BodyText"/>
    <w:next w:val="Normal"/>
    <w:qFormat/>
    <w:rsid w:val="00AC3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583"/>
  </w:style>
  <w:style w:type="paragraph" w:styleId="TableofFigures">
    <w:name w:val="table of figures"/>
    <w:basedOn w:val="Normal"/>
    <w:next w:val="Normal"/>
    <w:semiHidden/>
    <w:rsid w:val="00AC3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5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3583"/>
    <w:rPr>
      <w:rFonts w:ascii="Wingdings" w:hAnsi="Wingdings"/>
    </w:rPr>
  </w:style>
  <w:style w:type="paragraph" w:customStyle="1" w:styleId="TableHeading">
    <w:name w:val="Table Heading"/>
    <w:basedOn w:val="HeadingBase"/>
    <w:rsid w:val="00AC3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583"/>
    <w:rPr>
      <w:color w:val="0033CC"/>
      <w:u w:val="none"/>
    </w:rPr>
  </w:style>
  <w:style w:type="paragraph" w:customStyle="1" w:styleId="BodyTextRight">
    <w:name w:val="Body Text Right"/>
    <w:basedOn w:val="BodyText"/>
    <w:rsid w:val="00AC3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5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583"/>
    <w:rPr>
      <w:sz w:val="32"/>
    </w:rPr>
  </w:style>
  <w:style w:type="paragraph" w:customStyle="1" w:styleId="HeadingProcedure">
    <w:name w:val="Heading Procedure"/>
    <w:basedOn w:val="HeadingBase"/>
    <w:next w:val="Normal"/>
    <w:rsid w:val="00AC3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583"/>
    <w:pPr>
      <w:spacing w:before="60" w:after="60"/>
    </w:pPr>
  </w:style>
  <w:style w:type="paragraph" w:styleId="ListContinue">
    <w:name w:val="List Continue"/>
    <w:basedOn w:val="List"/>
    <w:rsid w:val="00AC3583"/>
    <w:pPr>
      <w:ind w:firstLine="0"/>
    </w:pPr>
  </w:style>
  <w:style w:type="paragraph" w:customStyle="1" w:styleId="ListNote">
    <w:name w:val="List Note"/>
    <w:basedOn w:val="List"/>
    <w:rsid w:val="00AC3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583"/>
    <w:rPr>
      <w:rFonts w:ascii="Courier New" w:hAnsi="Courier New"/>
    </w:rPr>
  </w:style>
  <w:style w:type="paragraph" w:customStyle="1" w:styleId="NoteBullet">
    <w:name w:val="Note Bullet"/>
    <w:basedOn w:val="Note"/>
    <w:rsid w:val="00AC3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5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3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583"/>
    <w:rPr>
      <w:b/>
      <w:smallCaps/>
    </w:rPr>
  </w:style>
  <w:style w:type="paragraph" w:customStyle="1" w:styleId="TableListNumber">
    <w:name w:val="Table List Number"/>
    <w:basedOn w:val="ListNumber"/>
    <w:rsid w:val="00AC3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583"/>
    <w:pPr>
      <w:numPr>
        <w:numId w:val="7"/>
      </w:numPr>
    </w:pPr>
  </w:style>
  <w:style w:type="paragraph" w:customStyle="1" w:styleId="ListAlpha2">
    <w:name w:val="List Alpha 2"/>
    <w:basedOn w:val="List2"/>
    <w:rsid w:val="00AC3583"/>
    <w:pPr>
      <w:numPr>
        <w:numId w:val="6"/>
      </w:numPr>
    </w:pPr>
  </w:style>
  <w:style w:type="paragraph" w:styleId="List2">
    <w:name w:val="List 2"/>
    <w:basedOn w:val="BodyText"/>
    <w:rsid w:val="00AC3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5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5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3583"/>
    <w:pPr>
      <w:numPr>
        <w:numId w:val="2"/>
      </w:numPr>
    </w:pPr>
  </w:style>
  <w:style w:type="paragraph" w:styleId="ListContinue2">
    <w:name w:val="List Continue 2"/>
    <w:basedOn w:val="List2"/>
    <w:rsid w:val="00AC3583"/>
    <w:pPr>
      <w:ind w:firstLine="0"/>
    </w:pPr>
  </w:style>
  <w:style w:type="paragraph" w:styleId="ListContinue3">
    <w:name w:val="List Continue 3"/>
    <w:basedOn w:val="List3"/>
    <w:rsid w:val="00AC3583"/>
    <w:pPr>
      <w:ind w:left="1021" w:firstLine="0"/>
    </w:pPr>
  </w:style>
  <w:style w:type="paragraph" w:styleId="ListContinue4">
    <w:name w:val="List Continue 4"/>
    <w:basedOn w:val="List4"/>
    <w:rsid w:val="00AC3583"/>
    <w:pPr>
      <w:ind w:firstLine="0"/>
    </w:pPr>
  </w:style>
  <w:style w:type="paragraph" w:styleId="ListContinue5">
    <w:name w:val="List Continue 5"/>
    <w:basedOn w:val="List5"/>
    <w:rsid w:val="00AC3583"/>
    <w:pPr>
      <w:ind w:firstLine="0"/>
    </w:pPr>
  </w:style>
  <w:style w:type="paragraph" w:styleId="ListNumber3">
    <w:name w:val="List Number 3"/>
    <w:basedOn w:val="List3"/>
    <w:rsid w:val="00AC3583"/>
    <w:pPr>
      <w:numPr>
        <w:numId w:val="3"/>
      </w:numPr>
    </w:pPr>
  </w:style>
  <w:style w:type="paragraph" w:styleId="ListNumber4">
    <w:name w:val="List Number 4"/>
    <w:basedOn w:val="List4"/>
    <w:rsid w:val="00AC3583"/>
    <w:pPr>
      <w:numPr>
        <w:numId w:val="4"/>
      </w:numPr>
    </w:pPr>
  </w:style>
  <w:style w:type="paragraph" w:styleId="ListNumber5">
    <w:name w:val="List Number 5"/>
    <w:basedOn w:val="List5"/>
    <w:rsid w:val="00AC3583"/>
    <w:pPr>
      <w:numPr>
        <w:numId w:val="5"/>
      </w:numPr>
    </w:pPr>
  </w:style>
  <w:style w:type="paragraph" w:styleId="BlockText">
    <w:name w:val="Block Text"/>
    <w:basedOn w:val="Normal"/>
    <w:rsid w:val="00AC3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583"/>
    <w:rPr>
      <w:sz w:val="16"/>
      <w:vertAlign w:val="superscript"/>
    </w:rPr>
  </w:style>
  <w:style w:type="character" w:customStyle="1" w:styleId="Symbols">
    <w:name w:val="Symbols"/>
    <w:basedOn w:val="DefaultParagraphFont"/>
    <w:rsid w:val="00AC3583"/>
    <w:rPr>
      <w:rFonts w:ascii="Symbol" w:hAnsi="Symbol"/>
    </w:rPr>
  </w:style>
  <w:style w:type="character" w:customStyle="1" w:styleId="MenuOptions">
    <w:name w:val="Menu Options"/>
    <w:basedOn w:val="DefaultParagraphFont"/>
    <w:rsid w:val="00AC3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583"/>
    <w:rPr>
      <w:b/>
    </w:rPr>
  </w:style>
  <w:style w:type="character" w:customStyle="1" w:styleId="Underlined">
    <w:name w:val="Underlined"/>
    <w:basedOn w:val="DefaultParagraphFont"/>
    <w:rsid w:val="00AC3583"/>
    <w:rPr>
      <w:u w:val="single"/>
    </w:rPr>
  </w:style>
  <w:style w:type="paragraph" w:customStyle="1" w:styleId="TableBodyTextRight">
    <w:name w:val="Table Body Text Right"/>
    <w:basedOn w:val="TableBodyText"/>
    <w:rsid w:val="00AC3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583"/>
    <w:rPr>
      <w:sz w:val="18"/>
    </w:rPr>
  </w:style>
  <w:style w:type="paragraph" w:customStyle="1" w:styleId="BodySmallRight">
    <w:name w:val="Body Small Right"/>
    <w:basedOn w:val="BodyTextRight"/>
    <w:rsid w:val="00AC3583"/>
    <w:rPr>
      <w:sz w:val="18"/>
      <w:szCs w:val="18"/>
    </w:rPr>
  </w:style>
  <w:style w:type="paragraph" w:customStyle="1" w:styleId="MarginEdition">
    <w:name w:val="Margin Edition"/>
    <w:basedOn w:val="MarginNote"/>
    <w:rsid w:val="00AC3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583"/>
    <w:rPr>
      <w:sz w:val="2"/>
      <w:szCs w:val="2"/>
    </w:rPr>
  </w:style>
  <w:style w:type="character" w:customStyle="1" w:styleId="Small">
    <w:name w:val="Small"/>
    <w:basedOn w:val="DefaultParagraphFont"/>
    <w:rsid w:val="00AC3583"/>
    <w:rPr>
      <w:sz w:val="16"/>
    </w:rPr>
  </w:style>
  <w:style w:type="paragraph" w:customStyle="1" w:styleId="WideTable">
    <w:name w:val="Wide Table"/>
    <w:basedOn w:val="Normal"/>
    <w:rsid w:val="00AC3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583"/>
  </w:style>
  <w:style w:type="paragraph" w:styleId="Quote">
    <w:name w:val="Quote"/>
    <w:basedOn w:val="Heading1"/>
    <w:link w:val="QuoteChar"/>
    <w:qFormat/>
    <w:rsid w:val="00AC3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583"/>
    <w:pPr>
      <w:pageBreakBefore/>
    </w:pPr>
  </w:style>
  <w:style w:type="paragraph" w:customStyle="1" w:styleId="Border">
    <w:name w:val="Border"/>
    <w:basedOn w:val="Normal"/>
    <w:qFormat/>
    <w:rsid w:val="00AC3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583"/>
    <w:rPr>
      <w:u w:val="single"/>
    </w:rPr>
  </w:style>
  <w:style w:type="character" w:customStyle="1" w:styleId="BoldandItalics">
    <w:name w:val="Bold and Italics"/>
    <w:qFormat/>
    <w:rsid w:val="00AC3583"/>
    <w:rPr>
      <w:b/>
      <w:i/>
      <w:u w:val="none"/>
    </w:rPr>
  </w:style>
  <w:style w:type="paragraph" w:styleId="BalloonText">
    <w:name w:val="Balloon Text"/>
    <w:basedOn w:val="Normal"/>
    <w:link w:val="BalloonTextChar"/>
    <w:rsid w:val="00AC3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583"/>
    <w:pPr>
      <w:spacing w:before="0" w:after="0"/>
    </w:pPr>
  </w:style>
  <w:style w:type="paragraph" w:customStyle="1" w:styleId="BodyTextBold">
    <w:name w:val="Body Text Bold"/>
    <w:basedOn w:val="BodyText"/>
    <w:qFormat/>
    <w:rsid w:val="00AC3583"/>
    <w:rPr>
      <w:b/>
    </w:rPr>
  </w:style>
  <w:style w:type="character" w:styleId="Hyperlink">
    <w:name w:val="Hyperlink"/>
    <w:basedOn w:val="DefaultParagraphFont"/>
    <w:uiPriority w:val="99"/>
    <w:unhideWhenUsed/>
    <w:rsid w:val="00F96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4750</Characters>
  <Application>Microsoft Office Word</Application>
  <DocSecurity>0</DocSecurity>
  <Lines>226</Lines>
  <Paragraphs>114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TLID2012 Operate specialised load shifting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