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679" w:rsidP="00083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TLID0045 Coordinate furniture removal</w:t>
      </w:r>
      <w:r>
        <w:fldChar w:fldCharType="end"/>
      </w:r>
    </w:p>
    <w:p w:rsidR="00083679" w:rsidP="00083679">
      <w:pPr>
        <w:pStyle w:val="Version"/>
        <w:sectPr w:rsidSect="00DC3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F68" w:rsidP="00DC3F68">
      <w:pPr>
        <w:pStyle w:val="SuperHeading"/>
      </w:pPr>
      <w:r w:rsidRPr="00DC3F68">
        <w:t>TLID0045 Coordinate furniture removal</w:t>
      </w:r>
    </w:p>
    <w:p w:rsidR="00000000" w:rsidRPr="00DC3F68" w:rsidP="00DC3F68">
      <w:pPr>
        <w:pStyle w:val="Heading1"/>
      </w:pPr>
      <w:bookmarkStart w:id="1" w:name="O_1299116"/>
      <w:bookmarkEnd w:id="1"/>
      <w:r w:rsidRPr="00DC3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Release 1.</w:t>
            </w:r>
            <w:r w:rsidRPr="00DC3F68">
              <w:t xml:space="preserve"> This is the first release of this unit of competency in the TLI Transport and Logistics Training Package.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2" w:name="O_1299117"/>
      <w:bookmarkEnd w:id="2"/>
      <w:r w:rsidRPr="00DC3F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This unit involves the skills and knowledge required to coordinate the removal of fur</w:t>
            </w:r>
            <w:r w:rsidRPr="00DC3F68">
              <w:t>niture and effects, in compliance with relevant industry codes of practice and workplace procedures.</w:t>
            </w:r>
          </w:p>
          <w:p w:rsidR="00000000" w:rsidRPr="00DC3F68" w:rsidP="00DC3F68">
            <w:pPr>
              <w:pStyle w:val="BodyText"/>
            </w:pPr>
            <w:r w:rsidRPr="00DC3F68">
              <w:t>This unit includes the application of standard furniture removal procedures by removal crew members when coordinating a removal across a variety of removal</w:t>
            </w:r>
            <w:r w:rsidRPr="00DC3F68">
              <w:t xml:space="preserve"> contexts.</w:t>
            </w:r>
          </w:p>
          <w:p w:rsidR="00000000" w:rsidRPr="00DC3F68" w:rsidP="00DC3F68">
            <w:pPr>
              <w:pStyle w:val="BodyText"/>
            </w:pPr>
            <w:r w:rsidRPr="00DC3F68">
              <w:t>It also includes coordinating the position of removal vehicle, determining access arrangements, identifying potential hazards, developing, communicating and monitoring an appropriate removal plan prior to uplift and completing all relevant recor</w:t>
            </w:r>
            <w:r w:rsidRPr="00DC3F68">
              <w:t>ds.</w:t>
            </w:r>
          </w:p>
          <w:p w:rsidR="00000000" w:rsidRPr="00DC3F68" w:rsidP="00DC3F68">
            <w:pPr>
              <w:pStyle w:val="BodyText"/>
            </w:pPr>
            <w:r w:rsidRPr="00DC3F68">
              <w:t xml:space="preserve">Work is performed under limited or minimum supervision, generally within a team environment. Accountability and responsibility for the safety of self and others is required when coordinating furniture removal. </w:t>
            </w:r>
          </w:p>
          <w:p w:rsidR="00000000" w:rsidRPr="00DC3F68" w:rsidP="00DC3F68">
            <w:pPr>
              <w:pStyle w:val="BodyText"/>
            </w:pPr>
            <w:r w:rsidRPr="00DC3F68">
              <w:t>No licensing, legislative or certificatio</w:t>
            </w:r>
            <w:r w:rsidRPr="00DC3F68">
              <w:t>n requirements apply to this unit at the time of publication.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3" w:name="O_1299118"/>
      <w:bookmarkEnd w:id="3"/>
      <w:r w:rsidRPr="00DC3F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Not applicable.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4" w:name="O_1299119"/>
      <w:bookmarkEnd w:id="4"/>
      <w:r w:rsidRPr="00DC3F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D – Load Handling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5" w:name="O_1299120"/>
      <w:bookmarkEnd w:id="5"/>
      <w:r w:rsidRPr="00DC3F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Not applicable.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6" w:name="O_1299121"/>
      <w:bookmarkEnd w:id="6"/>
      <w:r w:rsidRPr="00DC3F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59"/>
        <w:gridCol w:w="2344"/>
        <w:gridCol w:w="1593"/>
        <w:gridCol w:w="4701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ELEMENTS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PERFORMANCE CRITERIA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Elements describe the essential outcomes.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Performance criteria describe the performance needed to demonstrate achievement of the element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1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Position vehicle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1.1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Vehicle is positioned safely and in accordance with critical factors and workplace procedures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1.2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Need for use of visual safety equipment and signage is determined and placed in accordance with workplace procedures and local authority and state and terr</w:t>
            </w:r>
            <w:r w:rsidRPr="00DC3F68">
              <w:t>itory requirements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1.3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Access to vehicle is planned to minimise impact to traffic, gardens and lawns, and to avoid obstructions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1.4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Potential hazards are identified and vehicle is positioned to minimise risk of injury or damage to items and equipment during removal activities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2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Define job requirements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2.1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Client or agent needs and expectations are clarified and confirmed through quest</w:t>
            </w:r>
            <w:r w:rsidRPr="00DC3F68">
              <w:t>ioning and discussion and compared with written removal appraisal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2.2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Removal inventory is checked for accuracy and discrepancies and agreement with client or agent is confirmed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2.3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Initial inspection of removal job is undertaken and an appropriate loading sequence is confirmed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2.4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Potential internal hazards are identified and appropriate action is planned to minimise risk of injury to persons or damage to items, equipment or struc</w:t>
            </w:r>
            <w:r w:rsidRPr="00DC3F68">
              <w:t>ture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2.5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Special requirements are identified and discussed with client or agent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2.6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Client or agent is advised of any pre-damaged or damage-risked items and appropriate documentation is completed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2.7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Dangerous or hazardous items are identified and</w:t>
            </w:r>
            <w:r w:rsidRPr="00DC3F68">
              <w:t xml:space="preserve"> actioned in accordance with removal documentation and workplace procedures 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2.8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Items are appropriately prepared for, in accordance with removal documentation and workplace procedures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3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Plan and monitor loading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3.1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Loading plan is confirmed in consultation with onsite removal team members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3.2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Potential external hazards are identified and appropriate action is planned to minimise risk of injury to persons or damage to items and equipment during removal activities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3.3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Loading timeframes are monitored to ensure scheduling requirements of loading plan are met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4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rPr>
                <w:rStyle w:val="SpecialBold"/>
              </w:rPr>
              <w:t>Complete records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4.1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t>Records are updated accurately, legibly and promptly in accordance with workplace procedures</w:t>
            </w:r>
          </w:p>
        </w:tc>
      </w:tr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>
            <w:pPr>
              <w:pStyle w:val="BodyText"/>
              <w:keepLines w:val="0"/>
              <w:spacing w:before="0" w:after="0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F68">
            <w:pPr>
              <w:pStyle w:val="BodyText"/>
              <w:rPr>
                <w:lang w:val="en-NZ"/>
              </w:rPr>
            </w:pPr>
            <w:r w:rsidRPr="00DC3F68">
              <w:rPr>
                <w:rStyle w:val="SpecialBold"/>
              </w:rPr>
              <w:t>4.2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Records are checked to ensure all required information relevant to job is included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7" w:name="O_1299122"/>
      <w:bookmarkEnd w:id="7"/>
      <w:r w:rsidRPr="00DC3F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Foundation skills essential to performance are explicit in the performance criteria of this unit of competency.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8" w:name="O_1299123"/>
      <w:bookmarkEnd w:id="8"/>
      <w:r w:rsidRPr="00DC3F68">
        <w:t>R</w:t>
      </w:r>
      <w:r w:rsidRPr="00DC3F68">
        <w:t>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Range is restricted to essential operating conditions and any other variables essential to the work environment.</w:t>
            </w:r>
          </w:p>
          <w:p w:rsidR="00000000" w:rsidRPr="00DC3F68" w:rsidP="00DC3F68">
            <w:pPr>
              <w:pStyle w:val="BodyText"/>
            </w:pPr>
            <w:r w:rsidRPr="00DC3F68">
              <w:t>Non-essential conditions can be found in the Companion Volume Implementation Guide.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9" w:name="O_1299124"/>
      <w:bookmarkEnd w:id="9"/>
      <w:r w:rsidRPr="00DC3F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F68" w:rsidP="00DC3F68">
            <w:pPr>
              <w:pStyle w:val="BodyText"/>
            </w:pPr>
            <w:r w:rsidRPr="00DC3F68">
              <w:t>This unit replaces and is equivalent to TLID3050 Coordinate furniture removal.</w:t>
            </w:r>
          </w:p>
        </w:tc>
      </w:tr>
    </w:tbl>
    <w:p w:rsidR="00000000" w:rsidRPr="00DC3F68" w:rsidP="00DC3F68">
      <w:pPr>
        <w:pStyle w:val="NoPaddingFontSize1"/>
      </w:pPr>
    </w:p>
    <w:p w:rsidR="00000000" w:rsidRPr="00DC3F68" w:rsidP="00DC3F68">
      <w:pPr>
        <w:pStyle w:val="AllowPageBreak"/>
      </w:pPr>
    </w:p>
    <w:p w:rsidR="00000000" w:rsidRPr="00DC3F68" w:rsidP="00DC3F68">
      <w:pPr>
        <w:pStyle w:val="Heading1"/>
      </w:pPr>
      <w:bookmarkStart w:id="10" w:name="O_1299131"/>
      <w:bookmarkEnd w:id="10"/>
      <w:r w:rsidRPr="00DC3F68">
        <w:t>Links</w:t>
      </w:r>
    </w:p>
    <w:p w:rsidR="00000000" w:rsidRPr="00DC3F68" w:rsidP="00083679">
      <w:pPr>
        <w:pStyle w:val="BodyText"/>
      </w:pPr>
      <w:r w:rsidRPr="00DC3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00E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3F68" w:rsidP="00DC3F68"/>
    <w:sectPr w:rsidSect="00DC3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68" w:rsidRPr="00083679" w:rsidP="00083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79" w:rsidP="00DC3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679" w:rsidP="00DC3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3679" w:rsidP="00DC3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F68" w:rsidRPr="00083679" w:rsidP="00083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79" w:rsidRPr="002D2AF8" w:rsidP="00DC3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TLID0045 Coordinate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083679" w:rsidP="00DC3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F68"/>
  </w:style>
  <w:style w:type="character" w:customStyle="1" w:styleId="Heading1Char">
    <w:name w:val="Heading 1 Char"/>
    <w:basedOn w:val="DefaultParagraphFont"/>
    <w:link w:val="Heading1"/>
    <w:rsid w:val="00DC3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F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3F68"/>
    <w:rPr>
      <w:b/>
      <w:spacing w:val="0"/>
    </w:rPr>
  </w:style>
  <w:style w:type="paragraph" w:customStyle="1" w:styleId="SuperHeading">
    <w:name w:val="SuperHeading"/>
    <w:basedOn w:val="Normal"/>
    <w:rsid w:val="00DC3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3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F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3F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3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3F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3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F68"/>
    <w:rPr>
      <w:i/>
    </w:rPr>
  </w:style>
  <w:style w:type="paragraph" w:styleId="Caption">
    <w:name w:val="caption"/>
    <w:basedOn w:val="BodyText"/>
    <w:next w:val="Normal"/>
    <w:qFormat/>
    <w:rsid w:val="00DC3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F68"/>
  </w:style>
  <w:style w:type="paragraph" w:styleId="TableofFigures">
    <w:name w:val="table of figures"/>
    <w:basedOn w:val="Normal"/>
    <w:next w:val="Normal"/>
    <w:semiHidden/>
    <w:rsid w:val="00DC3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F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3F68"/>
    <w:rPr>
      <w:rFonts w:ascii="Wingdings" w:hAnsi="Wingdings"/>
    </w:rPr>
  </w:style>
  <w:style w:type="paragraph" w:customStyle="1" w:styleId="TableHeading">
    <w:name w:val="Table Heading"/>
    <w:basedOn w:val="HeadingBase"/>
    <w:rsid w:val="00DC3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F68"/>
    <w:rPr>
      <w:color w:val="0033CC"/>
      <w:u w:val="none"/>
    </w:rPr>
  </w:style>
  <w:style w:type="paragraph" w:customStyle="1" w:styleId="BodyTextRight">
    <w:name w:val="Body Text Right"/>
    <w:basedOn w:val="BodyText"/>
    <w:rsid w:val="00DC3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F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F68"/>
    <w:rPr>
      <w:sz w:val="32"/>
    </w:rPr>
  </w:style>
  <w:style w:type="paragraph" w:customStyle="1" w:styleId="HeadingProcedure">
    <w:name w:val="Heading Procedure"/>
    <w:basedOn w:val="HeadingBase"/>
    <w:next w:val="Normal"/>
    <w:rsid w:val="00DC3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F68"/>
    <w:pPr>
      <w:spacing w:before="60" w:after="60"/>
    </w:pPr>
  </w:style>
  <w:style w:type="paragraph" w:styleId="ListContinue">
    <w:name w:val="List Continue"/>
    <w:basedOn w:val="List"/>
    <w:rsid w:val="00DC3F68"/>
    <w:pPr>
      <w:ind w:firstLine="0"/>
    </w:pPr>
  </w:style>
  <w:style w:type="paragraph" w:customStyle="1" w:styleId="ListNote">
    <w:name w:val="List Note"/>
    <w:basedOn w:val="List"/>
    <w:rsid w:val="00DC3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F68"/>
    <w:rPr>
      <w:rFonts w:ascii="Courier New" w:hAnsi="Courier New"/>
    </w:rPr>
  </w:style>
  <w:style w:type="paragraph" w:customStyle="1" w:styleId="NoteBullet">
    <w:name w:val="Note Bullet"/>
    <w:basedOn w:val="Note"/>
    <w:rsid w:val="00DC3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F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3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F68"/>
    <w:rPr>
      <w:b/>
      <w:smallCaps/>
    </w:rPr>
  </w:style>
  <w:style w:type="paragraph" w:customStyle="1" w:styleId="TableListNumber">
    <w:name w:val="Table List Number"/>
    <w:basedOn w:val="ListNumber"/>
    <w:rsid w:val="00DC3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F68"/>
    <w:pPr>
      <w:numPr>
        <w:numId w:val="7"/>
      </w:numPr>
    </w:pPr>
  </w:style>
  <w:style w:type="paragraph" w:customStyle="1" w:styleId="ListAlpha2">
    <w:name w:val="List Alpha 2"/>
    <w:basedOn w:val="List2"/>
    <w:rsid w:val="00DC3F68"/>
    <w:pPr>
      <w:numPr>
        <w:numId w:val="6"/>
      </w:numPr>
    </w:pPr>
  </w:style>
  <w:style w:type="paragraph" w:styleId="List2">
    <w:name w:val="List 2"/>
    <w:basedOn w:val="BodyText"/>
    <w:rsid w:val="00DC3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F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F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3F68"/>
    <w:pPr>
      <w:numPr>
        <w:numId w:val="2"/>
      </w:numPr>
    </w:pPr>
  </w:style>
  <w:style w:type="paragraph" w:styleId="ListContinue2">
    <w:name w:val="List Continue 2"/>
    <w:basedOn w:val="List2"/>
    <w:rsid w:val="00DC3F68"/>
    <w:pPr>
      <w:ind w:firstLine="0"/>
    </w:pPr>
  </w:style>
  <w:style w:type="paragraph" w:styleId="ListContinue3">
    <w:name w:val="List Continue 3"/>
    <w:basedOn w:val="List3"/>
    <w:rsid w:val="00DC3F68"/>
    <w:pPr>
      <w:ind w:left="1021" w:firstLine="0"/>
    </w:pPr>
  </w:style>
  <w:style w:type="paragraph" w:styleId="ListContinue4">
    <w:name w:val="List Continue 4"/>
    <w:basedOn w:val="List4"/>
    <w:rsid w:val="00DC3F68"/>
    <w:pPr>
      <w:ind w:firstLine="0"/>
    </w:pPr>
  </w:style>
  <w:style w:type="paragraph" w:styleId="ListContinue5">
    <w:name w:val="List Continue 5"/>
    <w:basedOn w:val="List5"/>
    <w:rsid w:val="00DC3F68"/>
    <w:pPr>
      <w:ind w:firstLine="0"/>
    </w:pPr>
  </w:style>
  <w:style w:type="paragraph" w:styleId="ListNumber3">
    <w:name w:val="List Number 3"/>
    <w:basedOn w:val="List3"/>
    <w:rsid w:val="00DC3F68"/>
    <w:pPr>
      <w:numPr>
        <w:numId w:val="3"/>
      </w:numPr>
    </w:pPr>
  </w:style>
  <w:style w:type="paragraph" w:styleId="ListNumber4">
    <w:name w:val="List Number 4"/>
    <w:basedOn w:val="List4"/>
    <w:rsid w:val="00DC3F68"/>
    <w:pPr>
      <w:numPr>
        <w:numId w:val="4"/>
      </w:numPr>
    </w:pPr>
  </w:style>
  <w:style w:type="paragraph" w:styleId="ListNumber5">
    <w:name w:val="List Number 5"/>
    <w:basedOn w:val="List5"/>
    <w:rsid w:val="00DC3F68"/>
    <w:pPr>
      <w:numPr>
        <w:numId w:val="5"/>
      </w:numPr>
    </w:pPr>
  </w:style>
  <w:style w:type="paragraph" w:styleId="BlockText">
    <w:name w:val="Block Text"/>
    <w:basedOn w:val="Normal"/>
    <w:rsid w:val="00DC3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F68"/>
    <w:rPr>
      <w:sz w:val="16"/>
      <w:vertAlign w:val="superscript"/>
    </w:rPr>
  </w:style>
  <w:style w:type="character" w:customStyle="1" w:styleId="Symbols">
    <w:name w:val="Symbols"/>
    <w:basedOn w:val="DefaultParagraphFont"/>
    <w:rsid w:val="00DC3F68"/>
    <w:rPr>
      <w:rFonts w:ascii="Symbol" w:hAnsi="Symbol"/>
    </w:rPr>
  </w:style>
  <w:style w:type="character" w:customStyle="1" w:styleId="MenuOptions">
    <w:name w:val="Menu Options"/>
    <w:basedOn w:val="DefaultParagraphFont"/>
    <w:rsid w:val="00DC3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F68"/>
    <w:rPr>
      <w:b/>
    </w:rPr>
  </w:style>
  <w:style w:type="character" w:customStyle="1" w:styleId="Underlined">
    <w:name w:val="Underlined"/>
    <w:basedOn w:val="DefaultParagraphFont"/>
    <w:rsid w:val="00DC3F68"/>
    <w:rPr>
      <w:u w:val="single"/>
    </w:rPr>
  </w:style>
  <w:style w:type="paragraph" w:customStyle="1" w:styleId="TableBodyTextRight">
    <w:name w:val="Table Body Text Right"/>
    <w:basedOn w:val="TableBodyText"/>
    <w:rsid w:val="00DC3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F68"/>
    <w:rPr>
      <w:sz w:val="18"/>
    </w:rPr>
  </w:style>
  <w:style w:type="paragraph" w:customStyle="1" w:styleId="BodySmallRight">
    <w:name w:val="Body Small Right"/>
    <w:basedOn w:val="BodyTextRight"/>
    <w:rsid w:val="00DC3F68"/>
    <w:rPr>
      <w:sz w:val="18"/>
      <w:szCs w:val="18"/>
    </w:rPr>
  </w:style>
  <w:style w:type="paragraph" w:customStyle="1" w:styleId="MarginEdition">
    <w:name w:val="Margin Edition"/>
    <w:basedOn w:val="MarginNote"/>
    <w:rsid w:val="00DC3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F68"/>
    <w:rPr>
      <w:sz w:val="2"/>
      <w:szCs w:val="2"/>
    </w:rPr>
  </w:style>
  <w:style w:type="character" w:customStyle="1" w:styleId="Small">
    <w:name w:val="Small"/>
    <w:basedOn w:val="DefaultParagraphFont"/>
    <w:rsid w:val="00DC3F68"/>
    <w:rPr>
      <w:sz w:val="16"/>
    </w:rPr>
  </w:style>
  <w:style w:type="paragraph" w:customStyle="1" w:styleId="WideTable">
    <w:name w:val="Wide Table"/>
    <w:basedOn w:val="Normal"/>
    <w:rsid w:val="00DC3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F68"/>
  </w:style>
  <w:style w:type="paragraph" w:styleId="Quote">
    <w:name w:val="Quote"/>
    <w:basedOn w:val="Heading1"/>
    <w:link w:val="QuoteChar"/>
    <w:qFormat/>
    <w:rsid w:val="00DC3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F68"/>
    <w:pPr>
      <w:pageBreakBefore/>
    </w:pPr>
  </w:style>
  <w:style w:type="paragraph" w:customStyle="1" w:styleId="Border">
    <w:name w:val="Border"/>
    <w:basedOn w:val="Normal"/>
    <w:qFormat/>
    <w:rsid w:val="00DC3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F68"/>
    <w:rPr>
      <w:u w:val="single"/>
    </w:rPr>
  </w:style>
  <w:style w:type="character" w:customStyle="1" w:styleId="BoldandItalics">
    <w:name w:val="Bold and Italics"/>
    <w:qFormat/>
    <w:rsid w:val="00DC3F68"/>
    <w:rPr>
      <w:b/>
      <w:i/>
      <w:u w:val="none"/>
    </w:rPr>
  </w:style>
  <w:style w:type="paragraph" w:styleId="BalloonText">
    <w:name w:val="Balloon Text"/>
    <w:basedOn w:val="Normal"/>
    <w:link w:val="BalloonTextChar"/>
    <w:rsid w:val="00DC3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F68"/>
    <w:pPr>
      <w:spacing w:before="0" w:after="0"/>
    </w:pPr>
  </w:style>
  <w:style w:type="paragraph" w:customStyle="1" w:styleId="BodyTextBold">
    <w:name w:val="Body Text Bold"/>
    <w:basedOn w:val="BodyText"/>
    <w:qFormat/>
    <w:rsid w:val="00DC3F68"/>
    <w:rPr>
      <w:b/>
    </w:rPr>
  </w:style>
  <w:style w:type="character" w:styleId="Hyperlink">
    <w:name w:val="Hyperlink"/>
    <w:basedOn w:val="DefaultParagraphFont"/>
    <w:uiPriority w:val="99"/>
    <w:unhideWhenUsed/>
    <w:rsid w:val="00083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3789</Characters>
  <Application>Microsoft Office Word</Application>
  <DocSecurity>0</DocSecurity>
  <Lines>180</Lines>
  <Paragraphs>88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TLID0045 Coordinate furniture removal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