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2E2" w:rsidP="003A2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TLID0044 Pack and unpack furniture and effects</w:t>
      </w:r>
      <w:r>
        <w:fldChar w:fldCharType="end"/>
      </w:r>
    </w:p>
    <w:p w:rsidR="003A22E2" w:rsidP="003A22E2">
      <w:pPr>
        <w:pStyle w:val="Version"/>
        <w:sectPr w:rsidSect="00217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7BF" w:rsidP="002177BF">
      <w:pPr>
        <w:pStyle w:val="SuperHeading"/>
      </w:pPr>
      <w:r w:rsidRPr="002177BF">
        <w:t>TLID0044 Pack and unpack furniture and effects</w:t>
      </w:r>
    </w:p>
    <w:p w:rsidR="00000000" w:rsidRPr="002177BF" w:rsidP="002177BF">
      <w:pPr>
        <w:pStyle w:val="Heading1"/>
      </w:pPr>
      <w:bookmarkStart w:id="1" w:name="O_1299097"/>
      <w:bookmarkEnd w:id="1"/>
      <w:r w:rsidRPr="002177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Release 1.</w:t>
            </w:r>
            <w:r w:rsidRPr="002177BF">
              <w:t xml:space="preserve"> This is the first release of this unit of competency in the TLI Transport and Logistics Training Package.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2" w:name="O_1299098"/>
      <w:bookmarkEnd w:id="2"/>
      <w:r w:rsidRPr="002177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This unit involves the skills and knowledge required to pack and unpack furn</w:t>
            </w:r>
            <w:r w:rsidRPr="002177BF">
              <w:t>iture and effects in a range of furniture removal contexts, in compliance with relevant industry codes of practice and workplace procedures.</w:t>
            </w:r>
          </w:p>
          <w:p w:rsidR="00000000" w:rsidRPr="002177BF" w:rsidP="002177BF">
            <w:pPr>
              <w:pStyle w:val="BodyText"/>
            </w:pPr>
            <w:r w:rsidRPr="002177BF">
              <w:t>It includes preparing for packing of furniture and effects, packing and unpacking cartons, dismantling and reassemb</w:t>
            </w:r>
            <w:r w:rsidRPr="002177BF">
              <w:t>ling items of furniture, and completing packing or unpacking processes.</w:t>
            </w:r>
          </w:p>
          <w:p w:rsidR="00000000" w:rsidRPr="002177BF" w:rsidP="002177BF">
            <w:pPr>
              <w:pStyle w:val="BodyText"/>
            </w:pPr>
            <w:r w:rsidRPr="002177BF">
              <w:t>Work is performed under limited or minimum supervision generally within a team environment.</w:t>
            </w:r>
          </w:p>
          <w:p w:rsidR="00000000" w:rsidRPr="002177BF" w:rsidP="002177BF">
            <w:pPr>
              <w:pStyle w:val="BodyText"/>
            </w:pPr>
            <w:r w:rsidRPr="002177BF">
              <w:t>No licensing, legislative or certification requirements apply to this unit at the time of pu</w:t>
            </w:r>
            <w:r w:rsidRPr="002177BF">
              <w:t>blication.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3" w:name="O_1299099"/>
      <w:bookmarkEnd w:id="3"/>
      <w:r w:rsidRPr="002177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Not applicable.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4" w:name="O_1299100"/>
      <w:bookmarkEnd w:id="4"/>
      <w:r w:rsidRPr="002177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D – Load Handling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5" w:name="O_1299101"/>
      <w:bookmarkEnd w:id="5"/>
      <w:r w:rsidRPr="002177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Not applicable.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6" w:name="O_1299102"/>
      <w:bookmarkEnd w:id="6"/>
      <w:r w:rsidRPr="002177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2310"/>
        <w:gridCol w:w="721"/>
        <w:gridCol w:w="6062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ELEMENTS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PERFORMANCE CRITERIA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Elements describe the essential outcomes.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Performance criteria describe the performance needed to demonstrate achievement of the element.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Prepare for packing and dismantling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Removal documentation is checked to identify items of furniture and effects for removal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 xml:space="preserve">Appropriate materials, tools and equipment are selected to </w:t>
            </w:r>
            <w:r w:rsidRPr="002177BF">
              <w:t>dismantle, reassemble, pack, wrap and protect identified furniture and effects for removal in collabor</w:t>
            </w:r>
            <w:r w:rsidRPr="002177BF">
              <w:t>ation with others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Hazards are identified, risks are assessed and control measures are implemented in accordance with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Convenient, suitable and unrestricted work area for packing, unpacking, dismantling or reassembling is selected and prepared in consultation with client or agent and in accordance with work health and safety (WHS)/ occupational health and safety (OHS) regu</w:t>
            </w:r>
            <w:r w:rsidRPr="002177BF">
              <w:t xml:space="preserve">lations 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Items for removal are identified and packing order is determined in accordance with removal documentation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1.6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Cartons and protective materials are selected and located in an accessible area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1.7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Ineligible or hazardous items for remova</w:t>
            </w:r>
            <w:r w:rsidRPr="002177BF">
              <w:t>l are identified in accordance with industry standards and workplace procedures, and appropriate action is taken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1.8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Items for removal are appropriately prepared for travel or stowing in accordance with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Pack cartons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2.1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Items for removal are wrapped and packed in accordance with industry standards and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2.2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 xml:space="preserve">Fragile or valuable items identified are appropriately wrapped and positioned for loading onto vehicle in accordance with industry standards and </w:t>
            </w:r>
            <w:r w:rsidRPr="002177BF">
              <w:t>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2.3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Cartons are sealed and labelled in accordance with removal documentation and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2.4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Hazardous items are identified and actioned in accordance with removal documentation and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Dismantle and reassemble furniture items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3.1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 xml:space="preserve">Identified removal items are dismantled in accordance with industry standards and workplace procedures 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3.2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Dismantled items of furniture are packed, wrapped and stored in accordance with removal documentatio</w:t>
            </w:r>
            <w:r w:rsidRPr="002177BF">
              <w:t>n and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3.3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 xml:space="preserve">Dismantled items of furniture are reassembled in accordance </w:t>
            </w:r>
            <w:r w:rsidRPr="002177BF">
              <w:t xml:space="preserve">with industry standards and workplace procedures 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3.4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Client or agent is advised of potential furniture reassembly restrictions prior to removal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rPr>
                <w:rStyle w:val="SpecialBold"/>
              </w:rPr>
              <w:t>Complete unpacking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4.1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Cartons are unpacked and items are stowed in accordance with removal documentation and workplace procedures, and in consultation with client or agent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4.2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t>Used cartons are folded, materials removed, and rubbish is disposed of where</w:t>
            </w:r>
            <w:r w:rsidRPr="002177BF">
              <w:t xml:space="preserve"> required in accordance with workplace procedures</w:t>
            </w:r>
          </w:p>
        </w:tc>
      </w:tr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BF">
            <w:pPr>
              <w:pStyle w:val="BodyText"/>
              <w:rPr>
                <w:lang w:val="en-NZ"/>
              </w:rPr>
            </w:pPr>
            <w:r w:rsidRPr="002177BF">
              <w:rPr>
                <w:rStyle w:val="SpecialBold"/>
              </w:rPr>
              <w:t>4.3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Required removal documentation is completed in accordance with workplace procedures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7" w:name="O_1299103"/>
      <w:bookmarkEnd w:id="7"/>
      <w:r w:rsidRPr="002177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Foundation skills essential to performance are explicit in the performance c</w:t>
            </w:r>
            <w:r w:rsidRPr="002177BF">
              <w:t>riteria of this unit of competency.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8" w:name="O_1299104"/>
      <w:bookmarkEnd w:id="8"/>
      <w:r w:rsidRPr="002177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Range is restricted to essential operating conditions and any other variables essential to the work environment.</w:t>
            </w:r>
          </w:p>
          <w:p w:rsidR="00000000" w:rsidRPr="002177BF" w:rsidP="002177BF">
            <w:pPr>
              <w:pStyle w:val="BodyText"/>
            </w:pPr>
            <w:r w:rsidRPr="002177BF">
              <w:t>Non-essential conditions can be found in the Companion Volume Implementation Guide.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9" w:name="O_1299105"/>
      <w:bookmarkEnd w:id="9"/>
      <w:r w:rsidRPr="002177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77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BF" w:rsidP="002177BF">
            <w:pPr>
              <w:pStyle w:val="BodyText"/>
            </w:pPr>
            <w:r w:rsidRPr="002177BF">
              <w:t>This unit replaces and is equivalent to TLID3048 Pack and unpack furniture and effects.</w:t>
            </w:r>
          </w:p>
        </w:tc>
      </w:tr>
    </w:tbl>
    <w:p w:rsidR="00000000" w:rsidRPr="002177BF" w:rsidP="002177BF">
      <w:pPr>
        <w:pStyle w:val="NoPaddingFontSize1"/>
      </w:pPr>
    </w:p>
    <w:p w:rsidR="00000000" w:rsidRPr="002177BF" w:rsidP="002177BF">
      <w:pPr>
        <w:pStyle w:val="AllowPageBreak"/>
      </w:pPr>
    </w:p>
    <w:p w:rsidR="00000000" w:rsidRPr="002177BF" w:rsidP="002177BF">
      <w:pPr>
        <w:pStyle w:val="Heading1"/>
      </w:pPr>
      <w:bookmarkStart w:id="10" w:name="O_1299112"/>
      <w:bookmarkEnd w:id="10"/>
      <w:r w:rsidRPr="002177BF">
        <w:t>Links</w:t>
      </w:r>
    </w:p>
    <w:p w:rsidR="00000000" w:rsidRPr="002177BF" w:rsidP="003A22E2">
      <w:pPr>
        <w:pStyle w:val="BodyText"/>
      </w:pPr>
      <w:r w:rsidRPr="002177BF">
        <w:t>Companion V</w:t>
      </w:r>
      <w:r w:rsidRPr="002177B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35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77BF" w:rsidP="002177BF"/>
    <w:sectPr w:rsidSect="00217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BF" w:rsidRPr="003A22E2" w:rsidP="003A2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E2" w:rsidP="0021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2E2" w:rsidP="0021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22E2" w:rsidP="00217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7BF" w:rsidRPr="003A22E2" w:rsidP="003A2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E2" w:rsidRPr="002D2AF8" w:rsidP="0021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TLID0044 Pack and unpack furniture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3A22E2" w:rsidP="00217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7BF"/>
  </w:style>
  <w:style w:type="character" w:customStyle="1" w:styleId="Heading1Char">
    <w:name w:val="Heading 1 Char"/>
    <w:basedOn w:val="DefaultParagraphFont"/>
    <w:link w:val="Heading1"/>
    <w:rsid w:val="00217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7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77BF"/>
    <w:rPr>
      <w:b/>
      <w:spacing w:val="0"/>
    </w:rPr>
  </w:style>
  <w:style w:type="paragraph" w:customStyle="1" w:styleId="SuperHeading">
    <w:name w:val="SuperHeading"/>
    <w:basedOn w:val="Normal"/>
    <w:rsid w:val="00217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7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7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7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7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7BF"/>
    <w:rPr>
      <w:i/>
    </w:rPr>
  </w:style>
  <w:style w:type="paragraph" w:styleId="Caption">
    <w:name w:val="caption"/>
    <w:basedOn w:val="BodyText"/>
    <w:next w:val="Normal"/>
    <w:qFormat/>
    <w:rsid w:val="00217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7BF"/>
  </w:style>
  <w:style w:type="paragraph" w:styleId="TableofFigures">
    <w:name w:val="table of figures"/>
    <w:basedOn w:val="Normal"/>
    <w:next w:val="Normal"/>
    <w:semiHidden/>
    <w:rsid w:val="00217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7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7BF"/>
    <w:rPr>
      <w:rFonts w:ascii="Wingdings" w:hAnsi="Wingdings"/>
    </w:rPr>
  </w:style>
  <w:style w:type="paragraph" w:customStyle="1" w:styleId="TableHeading">
    <w:name w:val="Table Heading"/>
    <w:basedOn w:val="HeadingBase"/>
    <w:rsid w:val="00217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7BF"/>
    <w:rPr>
      <w:color w:val="0033CC"/>
      <w:u w:val="none"/>
    </w:rPr>
  </w:style>
  <w:style w:type="paragraph" w:customStyle="1" w:styleId="BodyTextRight">
    <w:name w:val="Body Text Right"/>
    <w:basedOn w:val="BodyText"/>
    <w:rsid w:val="00217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7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7BF"/>
    <w:rPr>
      <w:sz w:val="32"/>
    </w:rPr>
  </w:style>
  <w:style w:type="paragraph" w:customStyle="1" w:styleId="HeadingProcedure">
    <w:name w:val="Heading Procedure"/>
    <w:basedOn w:val="HeadingBase"/>
    <w:next w:val="Normal"/>
    <w:rsid w:val="00217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7BF"/>
    <w:pPr>
      <w:spacing w:before="60" w:after="60"/>
    </w:pPr>
  </w:style>
  <w:style w:type="paragraph" w:styleId="ListContinue">
    <w:name w:val="List Continue"/>
    <w:basedOn w:val="List"/>
    <w:rsid w:val="002177BF"/>
    <w:pPr>
      <w:ind w:firstLine="0"/>
    </w:pPr>
  </w:style>
  <w:style w:type="paragraph" w:customStyle="1" w:styleId="ListNote">
    <w:name w:val="List Note"/>
    <w:basedOn w:val="List"/>
    <w:rsid w:val="00217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7BF"/>
    <w:rPr>
      <w:rFonts w:ascii="Courier New" w:hAnsi="Courier New"/>
    </w:rPr>
  </w:style>
  <w:style w:type="paragraph" w:customStyle="1" w:styleId="NoteBullet">
    <w:name w:val="Note Bullet"/>
    <w:basedOn w:val="Note"/>
    <w:rsid w:val="00217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7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7BF"/>
    <w:rPr>
      <w:b/>
      <w:smallCaps/>
    </w:rPr>
  </w:style>
  <w:style w:type="paragraph" w:customStyle="1" w:styleId="TableListNumber">
    <w:name w:val="Table List Number"/>
    <w:basedOn w:val="ListNumber"/>
    <w:rsid w:val="00217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7BF"/>
    <w:pPr>
      <w:numPr>
        <w:numId w:val="7"/>
      </w:numPr>
    </w:pPr>
  </w:style>
  <w:style w:type="paragraph" w:customStyle="1" w:styleId="ListAlpha2">
    <w:name w:val="List Alpha 2"/>
    <w:basedOn w:val="List2"/>
    <w:rsid w:val="002177BF"/>
    <w:pPr>
      <w:numPr>
        <w:numId w:val="6"/>
      </w:numPr>
    </w:pPr>
  </w:style>
  <w:style w:type="paragraph" w:styleId="List2">
    <w:name w:val="List 2"/>
    <w:basedOn w:val="BodyText"/>
    <w:rsid w:val="00217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7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7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7BF"/>
    <w:pPr>
      <w:numPr>
        <w:numId w:val="2"/>
      </w:numPr>
    </w:pPr>
  </w:style>
  <w:style w:type="paragraph" w:styleId="ListContinue2">
    <w:name w:val="List Continue 2"/>
    <w:basedOn w:val="List2"/>
    <w:rsid w:val="002177BF"/>
    <w:pPr>
      <w:ind w:firstLine="0"/>
    </w:pPr>
  </w:style>
  <w:style w:type="paragraph" w:styleId="ListContinue3">
    <w:name w:val="List Continue 3"/>
    <w:basedOn w:val="List3"/>
    <w:rsid w:val="002177BF"/>
    <w:pPr>
      <w:ind w:left="1021" w:firstLine="0"/>
    </w:pPr>
  </w:style>
  <w:style w:type="paragraph" w:styleId="ListContinue4">
    <w:name w:val="List Continue 4"/>
    <w:basedOn w:val="List4"/>
    <w:rsid w:val="002177BF"/>
    <w:pPr>
      <w:ind w:firstLine="0"/>
    </w:pPr>
  </w:style>
  <w:style w:type="paragraph" w:styleId="ListContinue5">
    <w:name w:val="List Continue 5"/>
    <w:basedOn w:val="List5"/>
    <w:rsid w:val="002177BF"/>
    <w:pPr>
      <w:ind w:firstLine="0"/>
    </w:pPr>
  </w:style>
  <w:style w:type="paragraph" w:styleId="ListNumber3">
    <w:name w:val="List Number 3"/>
    <w:basedOn w:val="List3"/>
    <w:rsid w:val="002177BF"/>
    <w:pPr>
      <w:numPr>
        <w:numId w:val="3"/>
      </w:numPr>
    </w:pPr>
  </w:style>
  <w:style w:type="paragraph" w:styleId="ListNumber4">
    <w:name w:val="List Number 4"/>
    <w:basedOn w:val="List4"/>
    <w:rsid w:val="002177BF"/>
    <w:pPr>
      <w:numPr>
        <w:numId w:val="4"/>
      </w:numPr>
    </w:pPr>
  </w:style>
  <w:style w:type="paragraph" w:styleId="ListNumber5">
    <w:name w:val="List Number 5"/>
    <w:basedOn w:val="List5"/>
    <w:rsid w:val="002177BF"/>
    <w:pPr>
      <w:numPr>
        <w:numId w:val="5"/>
      </w:numPr>
    </w:pPr>
  </w:style>
  <w:style w:type="paragraph" w:styleId="BlockText">
    <w:name w:val="Block Text"/>
    <w:basedOn w:val="Normal"/>
    <w:rsid w:val="00217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7BF"/>
    <w:rPr>
      <w:sz w:val="16"/>
      <w:vertAlign w:val="superscript"/>
    </w:rPr>
  </w:style>
  <w:style w:type="character" w:customStyle="1" w:styleId="Symbols">
    <w:name w:val="Symbols"/>
    <w:basedOn w:val="DefaultParagraphFont"/>
    <w:rsid w:val="002177BF"/>
    <w:rPr>
      <w:rFonts w:ascii="Symbol" w:hAnsi="Symbol"/>
    </w:rPr>
  </w:style>
  <w:style w:type="character" w:customStyle="1" w:styleId="MenuOptions">
    <w:name w:val="Menu Options"/>
    <w:basedOn w:val="DefaultParagraphFont"/>
    <w:rsid w:val="00217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7BF"/>
    <w:rPr>
      <w:b/>
    </w:rPr>
  </w:style>
  <w:style w:type="character" w:customStyle="1" w:styleId="Underlined">
    <w:name w:val="Underlined"/>
    <w:basedOn w:val="DefaultParagraphFont"/>
    <w:rsid w:val="002177BF"/>
    <w:rPr>
      <w:u w:val="single"/>
    </w:rPr>
  </w:style>
  <w:style w:type="paragraph" w:customStyle="1" w:styleId="TableBodyTextRight">
    <w:name w:val="Table Body Text Right"/>
    <w:basedOn w:val="TableBodyText"/>
    <w:rsid w:val="00217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7BF"/>
    <w:rPr>
      <w:sz w:val="18"/>
    </w:rPr>
  </w:style>
  <w:style w:type="paragraph" w:customStyle="1" w:styleId="BodySmallRight">
    <w:name w:val="Body Small Right"/>
    <w:basedOn w:val="BodyTextRight"/>
    <w:rsid w:val="002177BF"/>
    <w:rPr>
      <w:sz w:val="18"/>
      <w:szCs w:val="18"/>
    </w:rPr>
  </w:style>
  <w:style w:type="paragraph" w:customStyle="1" w:styleId="MarginEdition">
    <w:name w:val="Margin Edition"/>
    <w:basedOn w:val="MarginNote"/>
    <w:rsid w:val="00217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7BF"/>
    <w:rPr>
      <w:sz w:val="2"/>
      <w:szCs w:val="2"/>
    </w:rPr>
  </w:style>
  <w:style w:type="character" w:customStyle="1" w:styleId="Small">
    <w:name w:val="Small"/>
    <w:basedOn w:val="DefaultParagraphFont"/>
    <w:rsid w:val="002177BF"/>
    <w:rPr>
      <w:sz w:val="16"/>
    </w:rPr>
  </w:style>
  <w:style w:type="paragraph" w:customStyle="1" w:styleId="WideTable">
    <w:name w:val="Wide Table"/>
    <w:basedOn w:val="Normal"/>
    <w:rsid w:val="00217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7BF"/>
  </w:style>
  <w:style w:type="paragraph" w:styleId="Quote">
    <w:name w:val="Quote"/>
    <w:basedOn w:val="Heading1"/>
    <w:link w:val="QuoteChar"/>
    <w:qFormat/>
    <w:rsid w:val="00217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7BF"/>
    <w:pPr>
      <w:pageBreakBefore/>
    </w:pPr>
  </w:style>
  <w:style w:type="paragraph" w:customStyle="1" w:styleId="Border">
    <w:name w:val="Border"/>
    <w:basedOn w:val="Normal"/>
    <w:qFormat/>
    <w:rsid w:val="00217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7BF"/>
    <w:rPr>
      <w:u w:val="single"/>
    </w:rPr>
  </w:style>
  <w:style w:type="character" w:customStyle="1" w:styleId="BoldandItalics">
    <w:name w:val="Bold and Italics"/>
    <w:qFormat/>
    <w:rsid w:val="002177BF"/>
    <w:rPr>
      <w:b/>
      <w:i/>
      <w:u w:val="none"/>
    </w:rPr>
  </w:style>
  <w:style w:type="paragraph" w:styleId="BalloonText">
    <w:name w:val="Balloon Text"/>
    <w:basedOn w:val="Normal"/>
    <w:link w:val="BalloonTextChar"/>
    <w:rsid w:val="00217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7BF"/>
    <w:pPr>
      <w:spacing w:before="0" w:after="0"/>
    </w:pPr>
  </w:style>
  <w:style w:type="paragraph" w:customStyle="1" w:styleId="BodyTextBold">
    <w:name w:val="Body Text Bold"/>
    <w:basedOn w:val="BodyText"/>
    <w:qFormat/>
    <w:rsid w:val="002177BF"/>
    <w:rPr>
      <w:b/>
    </w:rPr>
  </w:style>
  <w:style w:type="character" w:styleId="Hyperlink">
    <w:name w:val="Hyperlink"/>
    <w:basedOn w:val="DefaultParagraphFont"/>
    <w:uiPriority w:val="99"/>
    <w:unhideWhenUsed/>
    <w:rsid w:val="003A2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3941</Characters>
  <Application>Microsoft Office Word</Application>
  <DocSecurity>0</DocSecurity>
  <Lines>179</Lines>
  <Paragraphs>91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TLID0044 Pack and unpack furniture and effects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