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DC3" w:rsidP="00B47DC3">
      <w:pPr>
        <w:pStyle w:val="Title"/>
      </w:pPr>
      <w:r>
        <w:fldChar w:fldCharType="begin"/>
      </w:r>
      <w:r>
        <w:instrText xml:space="preserve"> TITLE   \* MERGEFORMAT </w:instrText>
      </w:r>
      <w:r>
        <w:fldChar w:fldCharType="separate"/>
      </w:r>
      <w:r>
        <w:t>TLID0042 Handle furniture and effects</w:t>
      </w:r>
      <w:r>
        <w:fldChar w:fldCharType="end"/>
      </w:r>
    </w:p>
    <w:p w:rsidR="00B47DC3" w:rsidP="00B47DC3">
      <w:pPr>
        <w:pStyle w:val="Version"/>
        <w:sectPr w:rsidSect="001E2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922" w:rsidP="001E2922">
      <w:pPr>
        <w:pStyle w:val="SuperHeading"/>
      </w:pPr>
      <w:r w:rsidRPr="001E2922">
        <w:t>TLID0042 Handle furniture and effects</w:t>
      </w:r>
    </w:p>
    <w:p w:rsidR="00000000" w:rsidRPr="001E2922" w:rsidP="001E2922">
      <w:pPr>
        <w:pStyle w:val="Heading1"/>
      </w:pPr>
      <w:bookmarkStart w:id="1" w:name="O_1299059"/>
      <w:bookmarkEnd w:id="1"/>
      <w:r w:rsidRPr="001E2922">
        <w:t>Modification History</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Release 1.</w:t>
            </w:r>
            <w:r w:rsidRPr="001E2922">
              <w:t xml:space="preserve"> This is the first release of this unit of competency in the TLI Transport and Logistics Training Package.</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2" w:name="O_1299060"/>
      <w:bookmarkEnd w:id="2"/>
      <w:r w:rsidRPr="001E2922">
        <w:t>Application</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This unit involves the skills and knowledge required to handle furniture and effects,</w:t>
            </w:r>
            <w:r w:rsidRPr="001E2922">
              <w:t xml:space="preserve"> and to apply basic principles and routine procedures in a range of furniture removal contexts in accordance with relevant industry codes of practice and workplace procedures.</w:t>
            </w:r>
          </w:p>
          <w:p w:rsidR="00000000" w:rsidRPr="001E2922" w:rsidP="001E2922">
            <w:pPr>
              <w:pStyle w:val="BodyText"/>
            </w:pPr>
            <w:r w:rsidRPr="001E2922">
              <w:t>It includes preparing for removal, moving and loading furniture and effects in a</w:t>
            </w:r>
            <w:r w:rsidRPr="001E2922">
              <w:t>ccordance with the removal plan to and from the removal vehicle, container or site.</w:t>
            </w:r>
          </w:p>
          <w:p w:rsidR="00000000" w:rsidRPr="001E2922" w:rsidP="001E2922">
            <w:pPr>
              <w:pStyle w:val="BodyText"/>
            </w:pPr>
            <w:r w:rsidRPr="001E2922">
              <w:t>Work is performed under limited or minimum supervision generally within a team environment.</w:t>
            </w:r>
          </w:p>
          <w:p w:rsidR="00000000" w:rsidRPr="001E2922" w:rsidP="001E2922">
            <w:pPr>
              <w:pStyle w:val="BodyText"/>
            </w:pPr>
            <w:r w:rsidRPr="001E2922">
              <w:t>No licensing, legislative or certification requirements apply to this unit at th</w:t>
            </w:r>
            <w:r w:rsidRPr="001E2922">
              <w:t>e time of publication.</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3" w:name="O_1299061"/>
      <w:bookmarkEnd w:id="3"/>
      <w:r w:rsidRPr="001E2922">
        <w:t>Pre-requisite Unit</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Not applicable.</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4" w:name="O_1299062"/>
      <w:bookmarkEnd w:id="4"/>
      <w:r w:rsidRPr="001E2922">
        <w:t>Competency Field</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D – Load Handling</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5" w:name="O_1299063"/>
      <w:bookmarkEnd w:id="5"/>
      <w:r w:rsidRPr="001E2922">
        <w:t>Unit Sector</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Not applicable.</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6" w:name="O_1299064"/>
      <w:bookmarkEnd w:id="6"/>
      <w:r w:rsidRPr="001E2922">
        <w:t>Elements and Performance Criteria</w:t>
      </w:r>
    </w:p>
    <w:tbl>
      <w:tblPr>
        <w:tblW w:w="9497" w:type="dxa"/>
        <w:tblLayout w:type="fixed"/>
        <w:tblCellMar>
          <w:left w:w="62" w:type="dxa"/>
          <w:right w:w="62" w:type="dxa"/>
        </w:tblCellMar>
        <w:tblLook w:val="0000"/>
      </w:tblPr>
      <w:tblGrid>
        <w:gridCol w:w="878"/>
        <w:gridCol w:w="2169"/>
        <w:gridCol w:w="1604"/>
        <w:gridCol w:w="4846"/>
      </w:tblGrid>
      <w:tr w:rsidTr="001E2922">
        <w:tblPrEx>
          <w:tblW w:w="9497" w:type="dxa"/>
          <w:tblLayout w:type="fixed"/>
          <w:tblCellMar>
            <w:left w:w="62" w:type="dxa"/>
            <w:right w:w="62" w:type="dxa"/>
          </w:tblCellMar>
          <w:tblLook w:val="0000"/>
        </w:tblPrEx>
        <w:tc>
          <w:tcPr>
            <w:tcW w:w="3047" w:type="dxa"/>
            <w:gridSpan w:val="2"/>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ELEMENTS</w:t>
            </w:r>
          </w:p>
        </w:tc>
        <w:tc>
          <w:tcPr>
            <w:tcW w:w="6450" w:type="dxa"/>
            <w:gridSpan w:val="2"/>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PERFORMANCE CRITERIA</w:t>
            </w:r>
          </w:p>
        </w:tc>
      </w:tr>
      <w:tr w:rsidTr="001E2922">
        <w:tblPrEx>
          <w:tblW w:w="9497" w:type="dxa"/>
          <w:tblLayout w:type="fixed"/>
          <w:tblCellMar>
            <w:left w:w="62" w:type="dxa"/>
            <w:right w:w="62" w:type="dxa"/>
          </w:tblCellMar>
          <w:tblLook w:val="0000"/>
        </w:tblPrEx>
        <w:tc>
          <w:tcPr>
            <w:tcW w:w="3047" w:type="dxa"/>
            <w:gridSpan w:val="2"/>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Elements describe the essential outcomes.</w:t>
            </w:r>
          </w:p>
        </w:tc>
        <w:tc>
          <w:tcPr>
            <w:tcW w:w="6450" w:type="dxa"/>
            <w:gridSpan w:val="2"/>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Performance criteria describe the performance needed to demonstrate achievement of the element.</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1</w:t>
            </w:r>
          </w:p>
        </w:tc>
        <w:tc>
          <w:tcPr>
            <w:tcW w:w="2169"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Prepare for removal</w:t>
            </w: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1.1</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Appropriate rem</w:t>
            </w:r>
            <w:r w:rsidRPr="001E2922">
              <w:t>oval equipment and materials are selected and work areas are organised in consultation with client or agent</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1.2</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 xml:space="preserve">Hazardous items are identified through </w:t>
            </w:r>
            <w:r w:rsidRPr="001E2922">
              <w:t>consultation with client or agent in accordance with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1.3</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Protective coverings and drop cloths are placed in packing and traffic areas in accordance with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1.4</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 xml:space="preserve">Checks are made that client or agent has prepared specific items for removal in accordance with removal documentation and workplace </w:t>
            </w:r>
            <w:r w:rsidRPr="001E2922">
              <w:t>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1.5</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Routes for lifting and moving furniture and effects to vehicle are identified, and floors, pathways or stairs are cleared of obstacles and hazards before goods are handled</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1.6</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Appropriate personal protective equipment (PPE) is selected</w:t>
            </w:r>
            <w:r w:rsidRPr="001E2922">
              <w:t xml:space="preserve"> in accordance with work health and safety (WHS)/occupational health and safety (OHS) regulations and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2</w:t>
            </w:r>
          </w:p>
        </w:tc>
        <w:tc>
          <w:tcPr>
            <w:tcW w:w="2169"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Move furniture items</w:t>
            </w: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2.1</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Furniture and effects are selected, lifted, moved and loaded onto vehicle or container in accordance with</w:t>
            </w:r>
            <w:r w:rsidRPr="001E2922">
              <w:t xml:space="preserve"> removal documentation and WHS/OHS regulations and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2.2</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Specialised lifting and moving equipment is selected and used in accordance with WHS/OHS regulations and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3</w:t>
            </w:r>
          </w:p>
        </w:tc>
        <w:tc>
          <w:tcPr>
            <w:tcW w:w="2169"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Load vehicle or container</w:t>
            </w: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3.1</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Vehicle or container is prepared for loading process, and furniture and effects are placed in accordance with removal documentation, client or agent requirements and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3.2</w:t>
            </w:r>
          </w:p>
        </w:tc>
        <w:tc>
          <w:tcPr>
            <w:tcW w:w="4846"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Furniture and effects are loaded to vehicle or container and stowed in accordance with removal documentation and workplace procedures</w:t>
            </w:r>
          </w:p>
        </w:tc>
      </w:tr>
      <w:tr w:rsidTr="001E2922">
        <w:tblPrEx>
          <w:tblW w:w="9497" w:type="dxa"/>
          <w:tblLayout w:type="fixed"/>
          <w:tblCellMar>
            <w:left w:w="62" w:type="dxa"/>
            <w:right w:w="62" w:type="dxa"/>
          </w:tblCellMar>
          <w:tblLook w:val="0000"/>
        </w:tblPrEx>
        <w:tc>
          <w:tcPr>
            <w:tcW w:w="8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9" w:type="dxa"/>
            <w:tcBorders>
              <w:top w:val="nil"/>
              <w:left w:val="nil"/>
              <w:bottom w:val="nil"/>
              <w:right w:val="nil"/>
            </w:tcBorders>
            <w:tcMar>
              <w:top w:w="0" w:type="dxa"/>
              <w:left w:w="62" w:type="dxa"/>
              <w:bottom w:w="0" w:type="dxa"/>
              <w:right w:w="62" w:type="dxa"/>
            </w:tcMar>
          </w:tcPr>
          <w:p w:rsidR="00000000" w:rsidRPr="001E2922">
            <w:pPr>
              <w:pStyle w:val="BodyText"/>
              <w:keepLines w:val="0"/>
              <w:spacing w:before="0" w:after="0"/>
            </w:pPr>
          </w:p>
        </w:tc>
        <w:tc>
          <w:tcPr>
            <w:tcW w:w="1604"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rPr>
                <w:rStyle w:val="SpecialBold"/>
              </w:rPr>
              <w:t>3.3</w:t>
            </w:r>
          </w:p>
        </w:tc>
        <w:tc>
          <w:tcPr>
            <w:tcW w:w="4846"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Required removal documentation is completed in accordance with workplace procedures</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7" w:name="O_1299065"/>
      <w:bookmarkEnd w:id="7"/>
      <w:r w:rsidRPr="001E2922">
        <w:t>Foundation Skills</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 xml:space="preserve">Foundation skills essential to performance are explicit in the performance criteria of this unit of </w:t>
            </w:r>
            <w:r w:rsidRPr="001E2922">
              <w:t>competency.</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8" w:name="O_1299066"/>
      <w:bookmarkEnd w:id="8"/>
      <w:r w:rsidRPr="001E2922">
        <w:t>Range of Conditions</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Range is restricted to essential operating conditions and any other variables essenti</w:t>
            </w:r>
            <w:r w:rsidRPr="001E2922">
              <w:t>al to the work environment.</w:t>
            </w:r>
          </w:p>
          <w:p w:rsidR="00000000" w:rsidRPr="001E2922" w:rsidP="001E2922">
            <w:pPr>
              <w:pStyle w:val="BodyText"/>
            </w:pPr>
            <w:r w:rsidRPr="001E2922">
              <w:t>Non-essential conditions can be found in the Companion Volume Implementation Guide.</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9" w:name="O_1299067"/>
      <w:bookmarkEnd w:id="9"/>
      <w:r w:rsidRPr="001E2922">
        <w:t>Unit Mapping Information</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This unit replaces and is equivalent to TLID2018 Handle furniture and effects.</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10" w:name="O_1299074"/>
      <w:bookmarkEnd w:id="10"/>
      <w:r w:rsidRPr="001E2922">
        <w:t>Links</w:t>
      </w:r>
    </w:p>
    <w:p w:rsidR="00000000" w:rsidRPr="001E2922" w:rsidP="00B47DC3">
      <w:pPr>
        <w:pStyle w:val="BodyText"/>
      </w:pPr>
      <w:r w:rsidRPr="001E292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5CFD">
        <w:rPr>
          <w:rStyle w:val="Hyperlink"/>
        </w:rPr>
        <w:t>https://vetnet.gov.au/Pages/TrainingDocs.aspx?q=df441c6e-213d-43e3-874c-0b3f7036d851</w:t>
      </w:r>
      <w:r>
        <w:fldChar w:fldCharType="end"/>
      </w:r>
    </w:p>
    <w:p w:rsidR="00000000" w:rsidRPr="001E2922" w:rsidP="00B47DC3">
      <w:pPr>
        <w:pStyle w:val="BodyText"/>
        <w:sectPr w:rsidSect="001E2922">
          <w:headerReference w:type="default" r:id="rId10"/>
          <w:footerReference w:type="default" r:id="rId11"/>
          <w:pgSz w:w="11908" w:h="16833"/>
          <w:pgMar w:top="1702" w:right="1418" w:bottom="1702" w:left="1418" w:header="992" w:footer="992" w:gutter="0"/>
          <w:cols w:space="720"/>
          <w:noEndnote/>
          <w:docGrid w:linePitch="299"/>
        </w:sectPr>
      </w:pPr>
    </w:p>
    <w:p w:rsidR="00000000" w:rsidRPr="001E2922" w:rsidP="001E2922">
      <w:pPr>
        <w:pStyle w:val="SuperHeading"/>
      </w:pPr>
      <w:r w:rsidRPr="001E2922">
        <w:t xml:space="preserve">Assessment </w:t>
      </w:r>
      <w:r w:rsidRPr="001E2922">
        <w:t>Requirements for TLID0042 Handle furniture and effects</w:t>
      </w:r>
    </w:p>
    <w:p w:rsidR="00000000" w:rsidRPr="001E2922" w:rsidP="001E2922">
      <w:pPr>
        <w:pStyle w:val="Heading1"/>
      </w:pPr>
      <w:bookmarkStart w:id="11" w:name="O_1299069"/>
      <w:bookmarkEnd w:id="11"/>
      <w:r w:rsidRPr="001E2922">
        <w:t>Modification History</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rPr>
                <w:rStyle w:val="SpecialBold"/>
              </w:rPr>
              <w:t>Release 1.</w:t>
            </w:r>
            <w:r w:rsidRPr="001E2922">
              <w:t xml:space="preserve"> This is the first release of this unit of competency in the TLI Transport and Logistics Training Package.</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12" w:name="O_1299070"/>
      <w:bookmarkEnd w:id="12"/>
      <w:r w:rsidRPr="001E2922">
        <w:t>Performance Evidence</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Evi</w:t>
            </w:r>
            <w:r w:rsidRPr="001E2922">
              <w:t>dence required to demonstrate competence in this unit must be relevant to and satisfy all of the requirements of the elements and performance criteria on at least one occasion and include:</w:t>
            </w:r>
          </w:p>
        </w:tc>
      </w:tr>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ListBullet"/>
            </w:pPr>
            <w:r w:rsidRPr="001E2922">
              <w:t xml:space="preserve">applying precautions and required action to minimise, control or </w:t>
            </w:r>
            <w:r w:rsidRPr="001E2922">
              <w:t>eliminate identified hazards</w:t>
            </w:r>
          </w:p>
          <w:p w:rsidR="00000000" w:rsidRPr="001E2922" w:rsidP="001E2922">
            <w:pPr>
              <w:pStyle w:val="ListBullet"/>
            </w:pPr>
            <w:r w:rsidRPr="001E2922">
              <w:t>applying relevant legislation and workplace procedures to handling, loading and unloading furniture items and effects</w:t>
            </w:r>
          </w:p>
          <w:p w:rsidR="00000000" w:rsidRPr="001E2922" w:rsidP="001E2922">
            <w:pPr>
              <w:pStyle w:val="ListBullet"/>
            </w:pPr>
            <w:r w:rsidRPr="001E2922">
              <w:t>communicating and working effectively with others using a range of modes including oral, written or digital</w:t>
            </w:r>
          </w:p>
          <w:p w:rsidR="00000000" w:rsidRPr="001E2922" w:rsidP="001E2922">
            <w:pPr>
              <w:pStyle w:val="ListBullet"/>
            </w:pPr>
            <w:r w:rsidRPr="001E2922">
              <w:t>handling, loading and unloading furniture items and effects into vehicle or container</w:t>
            </w:r>
          </w:p>
          <w:p w:rsidR="00000000" w:rsidRPr="001E2922" w:rsidP="001E2922">
            <w:pPr>
              <w:pStyle w:val="ListBullet"/>
            </w:pPr>
            <w:r w:rsidRPr="001E2922">
              <w:t>identifying dangerous goods and other items that are prohibited carriage during a removal and taking appropriate action in accordance with regulatory requirements and wor</w:t>
            </w:r>
            <w:r w:rsidRPr="001E2922">
              <w:t>kplace procedures</w:t>
            </w:r>
          </w:p>
          <w:p w:rsidR="00000000" w:rsidRPr="001E2922" w:rsidP="001E2922">
            <w:pPr>
              <w:pStyle w:val="ListBullet"/>
            </w:pPr>
            <w:r w:rsidRPr="001E2922">
              <w:t>identifying, selecting and correctly using relevant equipment such as tools, machinery, apparatus and devices</w:t>
            </w:r>
          </w:p>
          <w:p w:rsidR="00000000" w:rsidRPr="001E2922" w:rsidP="001E2922">
            <w:pPr>
              <w:pStyle w:val="ListBullet"/>
            </w:pPr>
            <w:r w:rsidRPr="001E2922">
              <w:t>implementing contingency plans and modifying activities</w:t>
            </w:r>
          </w:p>
          <w:p w:rsidR="00000000" w:rsidRPr="001E2922" w:rsidP="001E2922">
            <w:pPr>
              <w:pStyle w:val="ListBullet"/>
            </w:pPr>
            <w:r w:rsidRPr="001E2922">
              <w:t>monitoring and prioritising work activities in terms of planned schedule</w:t>
            </w:r>
          </w:p>
          <w:p w:rsidR="00000000" w:rsidRPr="001E2922" w:rsidP="001E2922">
            <w:pPr>
              <w:pStyle w:val="ListBullet"/>
            </w:pPr>
            <w:r w:rsidRPr="001E2922">
              <w:t>operating and adapting to differences in furniture, equipment and operating environment in accordance with workplace procedures</w:t>
            </w:r>
          </w:p>
          <w:p w:rsidR="00000000" w:rsidRPr="001E2922" w:rsidP="001E2922">
            <w:pPr>
              <w:pStyle w:val="ListBullet"/>
            </w:pPr>
            <w:r w:rsidRPr="001E2922">
              <w:t>reading, interpreting and following relevant instructions, procedures, information and signage</w:t>
            </w:r>
          </w:p>
          <w:p w:rsidR="00000000" w:rsidRPr="001E2922" w:rsidP="001E2922">
            <w:pPr>
              <w:pStyle w:val="ListBullet"/>
            </w:pPr>
            <w:r w:rsidRPr="001E2922">
              <w:t>selecting and using required per</w:t>
            </w:r>
            <w:r w:rsidRPr="001E2922">
              <w:t>sonal protective equipment to conform to industry and work health and safety (WHS)/occupational health and safety (OHS) standards.</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13" w:name="O_1299071"/>
      <w:bookmarkEnd w:id="13"/>
      <w:r w:rsidRPr="001E2922">
        <w:t>Knowledge Evidence</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922">
            <w:pPr>
              <w:pStyle w:val="BodyText"/>
              <w:rPr>
                <w:lang w:val="en-NZ"/>
              </w:rPr>
            </w:pPr>
            <w:r w:rsidRPr="001E2922">
              <w:t>Evidence required to demonstrate competence in this unit must be relevant to and sati</w:t>
            </w:r>
            <w:r w:rsidRPr="001E2922">
              <w:t>sfy all of the requirements of the elements and performance criteria and include knowledge of:</w:t>
            </w:r>
          </w:p>
        </w:tc>
      </w:tr>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ListBullet"/>
            </w:pPr>
            <w:r w:rsidRPr="001E2922">
              <w:t>communication devices and technology</w:t>
            </w:r>
          </w:p>
          <w:p w:rsidR="00000000" w:rsidRPr="001E2922" w:rsidP="001E2922">
            <w:pPr>
              <w:pStyle w:val="ListBullet"/>
            </w:pPr>
            <w:r w:rsidRPr="001E2922">
              <w:t>housekeeping standards and workplace procedures</w:t>
            </w:r>
          </w:p>
          <w:p w:rsidR="00000000" w:rsidRPr="001E2922" w:rsidP="001E2922">
            <w:pPr>
              <w:pStyle w:val="ListBullet"/>
            </w:pPr>
            <w:r w:rsidRPr="001E2922">
              <w:t>industry standards for handling furniture and effects</w:t>
            </w:r>
          </w:p>
          <w:p w:rsidR="00000000" w:rsidRPr="001E2922" w:rsidP="001E2922">
            <w:pPr>
              <w:pStyle w:val="ListBullet"/>
            </w:pPr>
            <w:r w:rsidRPr="001E2922">
              <w:t>insurance rights and responsibilities</w:t>
            </w:r>
          </w:p>
          <w:p w:rsidR="00000000" w:rsidRPr="001E2922" w:rsidP="001E2922">
            <w:pPr>
              <w:pStyle w:val="ListBullet"/>
            </w:pPr>
            <w:r w:rsidRPr="001E2922">
              <w:t>methods of securing a load on a removal vehicle</w:t>
            </w:r>
          </w:p>
          <w:p w:rsidR="00000000" w:rsidRPr="001E2922" w:rsidP="001E2922">
            <w:pPr>
              <w:pStyle w:val="ListBullet"/>
            </w:pPr>
            <w:r w:rsidRPr="001E2922">
              <w:t>risks for handling furniture and effects during a removal and related precautions to control risks</w:t>
            </w:r>
          </w:p>
          <w:p w:rsidR="00000000" w:rsidRPr="001E2922" w:rsidP="001E2922">
            <w:pPr>
              <w:pStyle w:val="ListBullet"/>
            </w:pPr>
            <w:r w:rsidRPr="001E2922">
              <w:t>specialised lifting equipment and procedures for its use</w:t>
            </w:r>
          </w:p>
          <w:p w:rsidR="00000000" w:rsidRPr="001E2922" w:rsidP="001E2922">
            <w:pPr>
              <w:pStyle w:val="ListBullet"/>
            </w:pPr>
            <w:r w:rsidRPr="001E2922">
              <w:t>WHS/OHS proced</w:t>
            </w:r>
            <w:r w:rsidRPr="001E2922">
              <w:t>ures and guidelines for lifting and moving loads.</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14" w:name="O_1299072"/>
      <w:bookmarkEnd w:id="14"/>
      <w:r w:rsidRPr="001E2922">
        <w:t>Assessment Conditions</w:t>
      </w:r>
    </w:p>
    <w:tbl>
      <w:tblPr>
        <w:tblW w:w="9497" w:type="dxa"/>
        <w:tblLayout w:type="fixed"/>
        <w:tblCellMar>
          <w:left w:w="62" w:type="dxa"/>
          <w:right w:w="62" w:type="dxa"/>
        </w:tblCellMar>
        <w:tblLook w:val="0000"/>
      </w:tblPr>
      <w:tblGrid>
        <w:gridCol w:w="9497"/>
      </w:tblGrid>
      <w:tr w:rsidTr="001E29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922" w:rsidP="001E2922">
            <w:pPr>
              <w:pStyle w:val="BodyText"/>
            </w:pPr>
            <w:r w:rsidRPr="001E2922">
              <w:t>Assessors must hold credentials specified within the Standards for Registered Training Organisations current at the time of assessment.</w:t>
            </w:r>
          </w:p>
          <w:p w:rsidR="00000000" w:rsidRPr="001E2922" w:rsidP="001E2922">
            <w:pPr>
              <w:pStyle w:val="BodyText"/>
            </w:pPr>
            <w:r w:rsidRPr="001E2922">
              <w:t>Assessment must satisfy the Principles of Assessment and Rules of Evidence and all regulatory requirements included within the Standards for Registered Training Organisations current at the time of assessment.</w:t>
            </w:r>
          </w:p>
          <w:p w:rsidR="00000000" w:rsidRPr="001E2922" w:rsidP="001E2922">
            <w:pPr>
              <w:pStyle w:val="BodyText"/>
            </w:pPr>
            <w:r w:rsidRPr="001E2922">
              <w:t>Assessment must occur in workplace operational</w:t>
            </w:r>
            <w:r w:rsidRPr="001E2922">
              <w:t xml:space="preserve"> situations where it is appropriate to do so; where this is not appropriate, assessment must occur in simulated workplace operational situations that replicate workplace conditions.</w:t>
            </w:r>
          </w:p>
          <w:p w:rsidR="00000000" w:rsidRPr="001E2922" w:rsidP="001E2922">
            <w:pPr>
              <w:pStyle w:val="BodyText"/>
            </w:pPr>
            <w:r w:rsidRPr="001E2922">
              <w:t>Assessment processes and techniques must be appropriate to the language, l</w:t>
            </w:r>
            <w:r w:rsidRPr="001E2922">
              <w:t>iteracy and numeracy requirements of the work being performed and the needs of the candidate.</w:t>
            </w:r>
          </w:p>
          <w:p w:rsidR="00000000" w:rsidRPr="001E2922" w:rsidP="001E2922">
            <w:pPr>
              <w:pStyle w:val="BodyText"/>
            </w:pPr>
            <w:r w:rsidRPr="001E2922">
              <w:t>Resources for assessment must include access to:</w:t>
            </w:r>
          </w:p>
          <w:p w:rsidR="00000000" w:rsidRPr="001E2922" w:rsidP="001E2922">
            <w:pPr>
              <w:pStyle w:val="ListBullet"/>
            </w:pPr>
            <w:r w:rsidRPr="001E2922">
              <w:t>a range of relevant exercises, case studies and/or simulations</w:t>
            </w:r>
          </w:p>
          <w:p w:rsidR="00000000" w:rsidRPr="001E2922" w:rsidP="001E2922">
            <w:pPr>
              <w:pStyle w:val="ListBullet"/>
            </w:pPr>
            <w:r w:rsidRPr="001E2922">
              <w:t>applicable documentation, including workplace pro</w:t>
            </w:r>
            <w:r w:rsidRPr="001E2922">
              <w:t>cedures, regulations, codes of practice and operation manuals</w:t>
            </w:r>
          </w:p>
          <w:p w:rsidR="00000000" w:rsidRPr="001E2922" w:rsidP="001E2922">
            <w:pPr>
              <w:pStyle w:val="ListBullet"/>
            </w:pPr>
            <w:r w:rsidRPr="001E2922">
              <w:t>relevant materials, tools, equipment and PPE currently used in industry.</w:t>
            </w:r>
          </w:p>
        </w:tc>
      </w:tr>
    </w:tbl>
    <w:p w:rsidR="00000000" w:rsidRPr="001E2922" w:rsidP="001E2922">
      <w:pPr>
        <w:pStyle w:val="NoPaddingFontSize1"/>
      </w:pPr>
    </w:p>
    <w:p w:rsidR="00000000" w:rsidRPr="001E2922" w:rsidP="001E2922">
      <w:pPr>
        <w:pStyle w:val="AllowPageBreak"/>
      </w:pPr>
    </w:p>
    <w:p w:rsidR="00000000" w:rsidRPr="001E2922" w:rsidP="001E2922">
      <w:pPr>
        <w:pStyle w:val="Heading1"/>
      </w:pPr>
      <w:bookmarkStart w:id="15" w:name="O_1299075"/>
      <w:bookmarkEnd w:id="15"/>
      <w:r w:rsidRPr="001E2922">
        <w:t>Links</w:t>
      </w:r>
    </w:p>
    <w:p w:rsidR="00000000" w:rsidRPr="001E2922" w:rsidP="00B47DC3">
      <w:pPr>
        <w:pStyle w:val="BodyText"/>
      </w:pPr>
      <w:r w:rsidRPr="001E292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5CFD">
        <w:rPr>
          <w:rStyle w:val="Hyperlink"/>
        </w:rPr>
        <w:t>https://vetnet.gov.au/Pages/TrainingDocs.aspx?q=df441c6e-213d-43e3-874c-0b3f7036d851</w:t>
      </w:r>
      <w:r>
        <w:fldChar w:fldCharType="end"/>
      </w:r>
    </w:p>
    <w:p w:rsidR="00000000" w:rsidRPr="001E2922" w:rsidP="001E2922"/>
    <w:sectPr w:rsidSect="001E29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rsidRPr="00B47DC3" w:rsidP="00B47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C3" w:rsidP="001E2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7DC3" w:rsidP="001E29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47DC3" w:rsidP="001E29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rsidP="001E2922">
    <w:pPr>
      <w:pStyle w:val="Footer"/>
      <w:framePr w:wrap="around"/>
    </w:pPr>
    <w:r>
      <w:fldChar w:fldCharType="begin"/>
    </w:r>
    <w:r>
      <w:instrText xml:space="preserve"> DOCPROPERTY  Subject  \* MERGEFORMAT </w:instrText>
    </w:r>
    <w:r>
      <w:fldChar w:fldCharType="separate"/>
    </w:r>
    <w:r w:rsidR="00B47DC3">
      <w:t>Approved</w:t>
    </w:r>
    <w:r w:rsidR="00B47DC3">
      <w:fldChar w:fldCharType="end"/>
    </w:r>
    <w:r>
      <w:tab/>
      <w:t xml:space="preserve">Page </w:t>
    </w:r>
    <w:r>
      <w:fldChar w:fldCharType="begin"/>
    </w:r>
    <w:r>
      <w:instrText xml:space="preserve"> PAGE  \* Arabic  \* MERGEFORMAT </w:instrText>
    </w:r>
    <w:r>
      <w:fldChar w:fldCharType="separate"/>
    </w:r>
    <w:r w:rsidR="00B47D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7DC3">
      <w:rPr>
        <w:noProof/>
      </w:rPr>
      <w:t>4</w:t>
    </w:r>
    <w:r>
      <w:rPr>
        <w:noProof/>
      </w:rPr>
      <w:fldChar w:fldCharType="end"/>
    </w:r>
  </w:p>
  <w:p w:rsidR="001E2922" w:rsidP="001E2922">
    <w:pPr>
      <w:pStyle w:val="Footer"/>
      <w:framePr w:wrap="around"/>
    </w:pPr>
    <w:r>
      <w:t xml:space="preserve">© Commonwealth of Australia, </w:t>
    </w:r>
    <w:r>
      <w:fldChar w:fldCharType="begin"/>
    </w:r>
    <w:r>
      <w:instrText xml:space="preserve"> DATE  \@ "yyyy"  \* MERGEFORMAT </w:instrText>
    </w:r>
    <w:r>
      <w:fldChar w:fldCharType="separate"/>
    </w:r>
    <w:r w:rsidR="00B47DC3">
      <w:rPr>
        <w:noProof/>
      </w:rPr>
      <w:t>2025</w:t>
    </w:r>
    <w:r>
      <w:fldChar w:fldCharType="end"/>
    </w:r>
    <w:r>
      <w:tab/>
    </w:r>
    <w:r>
      <w:fldChar w:fldCharType="begin"/>
    </w:r>
    <w:r>
      <w:instrText xml:space="preserve"> DOCPROPERTY  Author  \* MERGEFORMAT </w:instrText>
    </w:r>
    <w:r>
      <w:fldChar w:fldCharType="separate"/>
    </w:r>
    <w:r w:rsidR="00B47DC3">
      <w:t>Industry Skills Australia</w:t>
    </w:r>
    <w:r w:rsidR="00B47DC3">
      <w:fldChar w:fldCharType="end"/>
    </w:r>
  </w:p>
  <w:p w:rsidR="001E2922" w:rsidP="001E2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922" w:rsidRPr="00B47DC3" w:rsidP="00B47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C3" w:rsidRPr="002D2AF8" w:rsidP="001E2922">
    <w:pPr>
      <w:pStyle w:val="Header"/>
      <w:framePr w:wrap="around"/>
    </w:pPr>
    <w:r>
      <w:fldChar w:fldCharType="begin"/>
    </w:r>
    <w:r>
      <w:instrText xml:space="preserve"> TITLE   \* MERGEFORMAT </w:instrText>
    </w:r>
    <w:r>
      <w:fldChar w:fldCharType="separate"/>
    </w:r>
    <w:r>
      <w:t>TLID0042 Handle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B47DC3" w:rsidP="001E29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22" w:rsidRPr="002D2AF8" w:rsidP="001E2922">
    <w:pPr>
      <w:pStyle w:val="Header"/>
      <w:framePr w:wrap="around"/>
    </w:pPr>
    <w:r>
      <w:fldChar w:fldCharType="begin"/>
    </w:r>
    <w:r>
      <w:instrText xml:space="preserve"> TITLE   \* MERGEFORMAT </w:instrText>
    </w:r>
    <w:r>
      <w:fldChar w:fldCharType="separate"/>
    </w:r>
    <w:r w:rsidR="00B47DC3">
      <w:t>TLID0042 Handle furniture and effects</w:t>
    </w:r>
    <w:r w:rsidR="00B47DC3">
      <w:fldChar w:fldCharType="end"/>
    </w:r>
    <w:r>
      <w:tab/>
      <w:t xml:space="preserve">Date this document was generated: </w:t>
    </w:r>
    <w:r>
      <w:fldChar w:fldCharType="begin"/>
    </w:r>
    <w:r>
      <w:instrText xml:space="preserve"> CREATEDATE  \@ "d MMMM yyyy"  \* MERGEFORMAT </w:instrText>
    </w:r>
    <w:r>
      <w:fldChar w:fldCharType="separate"/>
    </w:r>
    <w:r w:rsidR="00B47DC3">
      <w:rPr>
        <w:noProof/>
      </w:rPr>
      <w:t>29 May 2025</w:t>
    </w:r>
    <w:r>
      <w:fldChar w:fldCharType="end"/>
    </w:r>
  </w:p>
  <w:p w:rsidR="001E2922" w:rsidP="001E2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2EB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867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922"/>
    <w:pPr>
      <w:spacing w:before="360" w:after="60"/>
      <w:outlineLvl w:val="0"/>
    </w:pPr>
    <w:rPr>
      <w:sz w:val="32"/>
    </w:rPr>
  </w:style>
  <w:style w:type="paragraph" w:styleId="Heading2">
    <w:name w:val="heading 2"/>
    <w:basedOn w:val="HeadingBase"/>
    <w:next w:val="BodyText"/>
    <w:link w:val="Heading2Char"/>
    <w:qFormat/>
    <w:rsid w:val="001E2922"/>
    <w:pPr>
      <w:keepLines/>
      <w:spacing w:before="240" w:after="120"/>
      <w:outlineLvl w:val="1"/>
    </w:pPr>
    <w:rPr>
      <w:sz w:val="28"/>
      <w:szCs w:val="40"/>
    </w:rPr>
  </w:style>
  <w:style w:type="paragraph" w:styleId="Heading3">
    <w:name w:val="heading 3"/>
    <w:basedOn w:val="HeadingBase"/>
    <w:next w:val="BodyText"/>
    <w:link w:val="Heading3Char"/>
    <w:qFormat/>
    <w:rsid w:val="001E2922"/>
    <w:pPr>
      <w:spacing w:before="180" w:after="120"/>
      <w:outlineLvl w:val="2"/>
    </w:pPr>
    <w:rPr>
      <w:spacing w:val="-10"/>
      <w:kern w:val="32"/>
    </w:rPr>
  </w:style>
  <w:style w:type="paragraph" w:styleId="Heading4">
    <w:name w:val="heading 4"/>
    <w:basedOn w:val="HeadingBase"/>
    <w:next w:val="BodyText"/>
    <w:link w:val="Heading4Char"/>
    <w:qFormat/>
    <w:rsid w:val="001E2922"/>
    <w:pPr>
      <w:spacing w:before="160" w:after="120"/>
      <w:outlineLvl w:val="3"/>
    </w:pPr>
    <w:rPr>
      <w:sz w:val="22"/>
    </w:rPr>
  </w:style>
  <w:style w:type="paragraph" w:styleId="Heading5">
    <w:name w:val="heading 5"/>
    <w:basedOn w:val="HeadingBase"/>
    <w:next w:val="Normal"/>
    <w:link w:val="Heading5Char"/>
    <w:qFormat/>
    <w:rsid w:val="001E2922"/>
    <w:pPr>
      <w:spacing w:before="80"/>
      <w:outlineLvl w:val="4"/>
    </w:pPr>
    <w:rPr>
      <w:color w:val="918585"/>
      <w:sz w:val="20"/>
    </w:rPr>
  </w:style>
  <w:style w:type="paragraph" w:styleId="Heading6">
    <w:name w:val="heading 6"/>
    <w:basedOn w:val="HeadingBase"/>
    <w:next w:val="Normal"/>
    <w:link w:val="Heading6Char"/>
    <w:qFormat/>
    <w:rsid w:val="001E2922"/>
    <w:pPr>
      <w:spacing w:before="60"/>
      <w:outlineLvl w:val="5"/>
    </w:pPr>
    <w:rPr>
      <w:color w:val="918585"/>
      <w:sz w:val="20"/>
    </w:rPr>
  </w:style>
  <w:style w:type="paragraph" w:styleId="Heading7">
    <w:name w:val="heading 7"/>
    <w:basedOn w:val="Normal"/>
    <w:next w:val="Normal"/>
    <w:link w:val="Heading7Char"/>
    <w:qFormat/>
    <w:rsid w:val="001E2922"/>
    <w:pPr>
      <w:ind w:left="720"/>
      <w:outlineLvl w:val="6"/>
    </w:pPr>
    <w:rPr>
      <w:i/>
    </w:rPr>
  </w:style>
  <w:style w:type="paragraph" w:styleId="Heading8">
    <w:name w:val="heading 8"/>
    <w:basedOn w:val="Normal"/>
    <w:next w:val="Normal"/>
    <w:link w:val="Heading8Char"/>
    <w:qFormat/>
    <w:rsid w:val="001E2922"/>
    <w:pPr>
      <w:ind w:left="720"/>
      <w:outlineLvl w:val="7"/>
    </w:pPr>
    <w:rPr>
      <w:i/>
    </w:rPr>
  </w:style>
  <w:style w:type="paragraph" w:styleId="Heading9">
    <w:name w:val="heading 9"/>
    <w:basedOn w:val="Normal"/>
    <w:next w:val="Normal"/>
    <w:link w:val="Heading9Char"/>
    <w:qFormat/>
    <w:rsid w:val="001E2922"/>
    <w:pPr>
      <w:ind w:left="720"/>
      <w:outlineLvl w:val="8"/>
    </w:pPr>
    <w:rPr>
      <w:i/>
    </w:rPr>
  </w:style>
  <w:style w:type="character" w:default="1" w:styleId="DefaultParagraphFont">
    <w:name w:val="Default Paragraph Font"/>
    <w:uiPriority w:val="1"/>
    <w:unhideWhenUsed/>
    <w:rsid w:val="001E2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922"/>
  </w:style>
  <w:style w:type="character" w:customStyle="1" w:styleId="Heading1Char">
    <w:name w:val="Heading 1 Char"/>
    <w:basedOn w:val="DefaultParagraphFont"/>
    <w:link w:val="Heading1"/>
    <w:rsid w:val="001E2922"/>
    <w:rPr>
      <w:rFonts w:ascii="Times New Roman" w:eastAsia="Times New Roman" w:hAnsi="Times New Roman" w:cs="Times New Roman"/>
      <w:b/>
      <w:sz w:val="32"/>
      <w:szCs w:val="20"/>
      <w:lang w:eastAsia="en-US"/>
    </w:rPr>
  </w:style>
  <w:style w:type="paragraph" w:styleId="BodyText">
    <w:name w:val="Body Text"/>
    <w:basedOn w:val="Normal"/>
    <w:link w:val="BodyTextChar"/>
    <w:rsid w:val="001E2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922"/>
    <w:rPr>
      <w:rFonts w:ascii="Times New Roman" w:eastAsia="Times New Roman" w:hAnsi="Times New Roman" w:cs="Times New Roman"/>
      <w:sz w:val="24"/>
      <w:lang w:eastAsia="en-US"/>
    </w:rPr>
  </w:style>
  <w:style w:type="paragraph" w:styleId="ListBullet">
    <w:name w:val="List Bullet"/>
    <w:basedOn w:val="List"/>
    <w:rsid w:val="001E2922"/>
    <w:pPr>
      <w:numPr>
        <w:numId w:val="11"/>
      </w:numPr>
      <w:tabs>
        <w:tab w:val="clear" w:pos="340"/>
      </w:tabs>
      <w:spacing w:before="40" w:after="40"/>
    </w:pPr>
  </w:style>
  <w:style w:type="character" w:customStyle="1" w:styleId="SpecialBold">
    <w:name w:val="Special Bold"/>
    <w:basedOn w:val="DefaultParagraphFont"/>
    <w:rsid w:val="001E2922"/>
    <w:rPr>
      <w:b/>
      <w:spacing w:val="0"/>
    </w:rPr>
  </w:style>
  <w:style w:type="paragraph" w:customStyle="1" w:styleId="SuperHeading">
    <w:name w:val="SuperHeading"/>
    <w:basedOn w:val="Normal"/>
    <w:rsid w:val="001E2922"/>
    <w:pPr>
      <w:spacing w:before="240" w:after="120"/>
      <w:outlineLvl w:val="0"/>
    </w:pPr>
    <w:rPr>
      <w:rFonts w:ascii="Times New Roman" w:hAnsi="Times New Roman"/>
      <w:b/>
      <w:sz w:val="32"/>
    </w:rPr>
  </w:style>
  <w:style w:type="paragraph" w:customStyle="1" w:styleId="AllowPageBreak">
    <w:name w:val="AllowPageBreak"/>
    <w:rsid w:val="001E29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922"/>
    <w:rPr>
      <w:rFonts w:ascii="Courier New" w:eastAsia="Times New Roman" w:hAnsi="Courier New" w:cs="Times New Roman"/>
      <w:i/>
      <w:szCs w:val="20"/>
      <w:lang w:eastAsia="en-US"/>
    </w:rPr>
  </w:style>
  <w:style w:type="paragraph" w:customStyle="1" w:styleId="HeadingBase">
    <w:name w:val="Heading Base"/>
    <w:rsid w:val="001E2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922"/>
    <w:pPr>
      <w:tabs>
        <w:tab w:val="right" w:leader="dot" w:pos="9072"/>
      </w:tabs>
      <w:ind w:left="567"/>
    </w:pPr>
    <w:rPr>
      <w:szCs w:val="22"/>
    </w:rPr>
  </w:style>
  <w:style w:type="paragraph" w:customStyle="1" w:styleId="TOCBase">
    <w:name w:val="TOC Base"/>
    <w:rsid w:val="001E2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922"/>
    <w:pPr>
      <w:tabs>
        <w:tab w:val="right" w:leader="dot" w:pos="9072"/>
      </w:tabs>
      <w:spacing w:before="40" w:after="40"/>
      <w:ind w:left="284"/>
    </w:pPr>
    <w:rPr>
      <w:rFonts w:ascii="Times New Roman" w:hAnsi="Times New Roman"/>
    </w:rPr>
  </w:style>
  <w:style w:type="paragraph" w:styleId="TOC1">
    <w:name w:val="toc 1"/>
    <w:basedOn w:val="TOCBase"/>
    <w:next w:val="Normal"/>
    <w:rsid w:val="001E2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922"/>
    <w:rPr>
      <w:rFonts w:ascii="Times New Roman" w:eastAsia="Times New Roman" w:hAnsi="Times New Roman" w:cs="Times New Roman"/>
      <w:sz w:val="16"/>
      <w:lang w:eastAsia="en-US"/>
    </w:rPr>
  </w:style>
  <w:style w:type="paragraph" w:styleId="Title">
    <w:name w:val="Title"/>
    <w:basedOn w:val="HeadingBase"/>
    <w:link w:val="TitleChar"/>
    <w:qFormat/>
    <w:rsid w:val="001E2922"/>
    <w:pPr>
      <w:spacing w:before="5040"/>
      <w:jc w:val="center"/>
    </w:pPr>
    <w:rPr>
      <w:sz w:val="48"/>
      <w:szCs w:val="72"/>
      <w:lang w:val="en-US"/>
    </w:rPr>
  </w:style>
  <w:style w:type="character" w:customStyle="1" w:styleId="TitleChar">
    <w:name w:val="Title Char"/>
    <w:basedOn w:val="DefaultParagraphFont"/>
    <w:link w:val="Title"/>
    <w:rsid w:val="001E2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922"/>
    <w:pPr>
      <w:tabs>
        <w:tab w:val="left" w:pos="3600"/>
        <w:tab w:val="left" w:pos="3958"/>
      </w:tabs>
    </w:pPr>
  </w:style>
  <w:style w:type="paragraph" w:styleId="List">
    <w:name w:val="List"/>
    <w:basedOn w:val="BodyText"/>
    <w:next w:val="BodyText"/>
    <w:rsid w:val="001E2922"/>
    <w:pPr>
      <w:tabs>
        <w:tab w:val="left" w:pos="340"/>
      </w:tabs>
      <w:spacing w:before="60" w:after="60"/>
      <w:ind w:left="340" w:hanging="340"/>
    </w:pPr>
  </w:style>
  <w:style w:type="paragraph" w:customStyle="1" w:styleId="Note">
    <w:name w:val="Note"/>
    <w:basedOn w:val="BodyText"/>
    <w:rsid w:val="001E2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922"/>
    <w:pPr>
      <w:framePr w:wrap="auto" w:hAnchor="text" w:y="6049"/>
    </w:pPr>
    <w:rPr>
      <w:color w:val="000000"/>
      <w:sz w:val="40"/>
    </w:rPr>
  </w:style>
  <w:style w:type="paragraph" w:customStyle="1" w:styleId="TOCTitle">
    <w:name w:val="TOCTitle"/>
    <w:basedOn w:val="Heading1"/>
    <w:rsid w:val="001E2922"/>
    <w:pPr>
      <w:spacing w:after="240"/>
      <w:jc w:val="center"/>
      <w:outlineLvl w:val="9"/>
    </w:pPr>
    <w:rPr>
      <w:caps/>
    </w:rPr>
  </w:style>
  <w:style w:type="paragraph" w:customStyle="1" w:styleId="Version">
    <w:name w:val="Version"/>
    <w:rsid w:val="001E2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922"/>
    <w:pPr>
      <w:numPr>
        <w:numId w:val="12"/>
      </w:numPr>
      <w:tabs>
        <w:tab w:val="clear" w:pos="680"/>
      </w:tabs>
    </w:pPr>
  </w:style>
  <w:style w:type="paragraph" w:styleId="Index1">
    <w:name w:val="index 1"/>
    <w:basedOn w:val="Normal"/>
    <w:next w:val="Normal"/>
    <w:semiHidden/>
    <w:rsid w:val="001E2922"/>
    <w:pPr>
      <w:keepNext w:val="0"/>
      <w:tabs>
        <w:tab w:val="right" w:pos="4176"/>
      </w:tabs>
      <w:ind w:left="198" w:hanging="198"/>
    </w:pPr>
    <w:rPr>
      <w:rFonts w:ascii="Garamond" w:hAnsi="Garamond"/>
    </w:rPr>
  </w:style>
  <w:style w:type="paragraph" w:styleId="IndexHeading">
    <w:name w:val="index heading"/>
    <w:basedOn w:val="Normal"/>
    <w:next w:val="Index1"/>
    <w:semiHidden/>
    <w:rsid w:val="001E2922"/>
    <w:pPr>
      <w:spacing w:before="120" w:after="120"/>
    </w:pPr>
    <w:rPr>
      <w:rFonts w:ascii="Arial" w:hAnsi="Arial"/>
      <w:b/>
      <w:color w:val="918585"/>
      <w:sz w:val="24"/>
    </w:rPr>
  </w:style>
  <w:style w:type="paragraph" w:styleId="Header">
    <w:name w:val="header"/>
    <w:basedOn w:val="Normal"/>
    <w:link w:val="HeaderChar"/>
    <w:rsid w:val="001E2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922"/>
    <w:rPr>
      <w:rFonts w:ascii="Times New Roman" w:eastAsia="Times New Roman" w:hAnsi="Times New Roman" w:cs="Times New Roman"/>
      <w:sz w:val="16"/>
      <w:szCs w:val="20"/>
      <w:lang w:val="en-GB" w:eastAsia="en-US"/>
    </w:rPr>
  </w:style>
  <w:style w:type="paragraph" w:customStyle="1" w:styleId="Chapter">
    <w:name w:val="Chapter"/>
    <w:basedOn w:val="Normal"/>
    <w:rsid w:val="001E2922"/>
    <w:pPr>
      <w:spacing w:before="240"/>
    </w:pPr>
    <w:rPr>
      <w:rFonts w:ascii="Times New Roman" w:hAnsi="Times New Roman"/>
      <w:smallCaps/>
      <w:spacing w:val="80"/>
      <w:sz w:val="28"/>
    </w:rPr>
  </w:style>
  <w:style w:type="paragraph" w:customStyle="1" w:styleId="InChapter">
    <w:name w:val="InChapter"/>
    <w:basedOn w:val="Heading3"/>
    <w:rsid w:val="001E2922"/>
    <w:pPr>
      <w:spacing w:after="240"/>
      <w:outlineLvl w:val="9"/>
    </w:pPr>
    <w:rPr>
      <w:noProof/>
    </w:rPr>
  </w:style>
  <w:style w:type="paragraph" w:styleId="Index2">
    <w:name w:val="index 2"/>
    <w:basedOn w:val="Normal"/>
    <w:next w:val="Normal"/>
    <w:semiHidden/>
    <w:rsid w:val="001E2922"/>
    <w:pPr>
      <w:tabs>
        <w:tab w:val="right" w:pos="4176"/>
      </w:tabs>
      <w:ind w:left="568" w:hanging="284"/>
    </w:pPr>
    <w:rPr>
      <w:rFonts w:ascii="Garamond" w:hAnsi="Garamond"/>
    </w:rPr>
  </w:style>
  <w:style w:type="paragraph" w:customStyle="1" w:styleId="Byline">
    <w:name w:val="Byline"/>
    <w:rsid w:val="001E2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922"/>
    <w:pPr>
      <w:tabs>
        <w:tab w:val="clear" w:pos="3600"/>
        <w:tab w:val="clear" w:pos="3958"/>
      </w:tabs>
      <w:jc w:val="right"/>
    </w:pPr>
  </w:style>
  <w:style w:type="character" w:styleId="Emphasis">
    <w:name w:val="Emphasis"/>
    <w:basedOn w:val="DefaultParagraphFont"/>
    <w:qFormat/>
    <w:rsid w:val="001E2922"/>
    <w:rPr>
      <w:i/>
    </w:rPr>
  </w:style>
  <w:style w:type="paragraph" w:styleId="Caption">
    <w:name w:val="caption"/>
    <w:basedOn w:val="BodyText"/>
    <w:next w:val="Normal"/>
    <w:qFormat/>
    <w:rsid w:val="001E2922"/>
    <w:pPr>
      <w:framePr w:w="2268" w:hSpace="181" w:vSpace="181" w:wrap="around" w:vAnchor="text" w:hAnchor="page" w:x="1135" w:y="285" w:anchorLock="1"/>
    </w:pPr>
    <w:rPr>
      <w:i/>
    </w:rPr>
  </w:style>
  <w:style w:type="paragraph" w:customStyle="1" w:styleId="MiniTOCTitle">
    <w:name w:val="MiniTOCTitle"/>
    <w:basedOn w:val="Heading4"/>
    <w:rsid w:val="001E2922"/>
    <w:pPr>
      <w:spacing w:before="240"/>
      <w:outlineLvl w:val="9"/>
    </w:pPr>
    <w:rPr>
      <w:noProof/>
      <w:sz w:val="24"/>
    </w:rPr>
  </w:style>
  <w:style w:type="paragraph" w:customStyle="1" w:styleId="MiniTOCItem">
    <w:name w:val="MiniTOCItem"/>
    <w:basedOn w:val="ListBullet"/>
    <w:rsid w:val="001E2922"/>
    <w:pPr>
      <w:numPr>
        <w:numId w:val="0"/>
      </w:numPr>
      <w:tabs>
        <w:tab w:val="right" w:leader="dot" w:pos="6521"/>
      </w:tabs>
      <w:spacing w:before="0" w:after="0"/>
    </w:pPr>
  </w:style>
  <w:style w:type="paragraph" w:customStyle="1" w:styleId="TOFTitle">
    <w:name w:val="TOFTitle"/>
    <w:basedOn w:val="TOCTitle"/>
    <w:rsid w:val="001E2922"/>
  </w:style>
  <w:style w:type="paragraph" w:styleId="TableofFigures">
    <w:name w:val="table of figures"/>
    <w:basedOn w:val="Normal"/>
    <w:next w:val="Normal"/>
    <w:semiHidden/>
    <w:rsid w:val="001E2922"/>
    <w:pPr>
      <w:tabs>
        <w:tab w:val="right" w:leader="dot" w:pos="9072"/>
      </w:tabs>
      <w:ind w:left="970" w:hanging="403"/>
    </w:pPr>
    <w:rPr>
      <w:rFonts w:ascii="Times New Roman" w:hAnsi="Times New Roman"/>
      <w:b/>
    </w:rPr>
  </w:style>
  <w:style w:type="paragraph" w:styleId="ListNumber">
    <w:name w:val="List Number"/>
    <w:basedOn w:val="List"/>
    <w:rsid w:val="001E2922"/>
    <w:pPr>
      <w:numPr>
        <w:numId w:val="14"/>
      </w:numPr>
      <w:tabs>
        <w:tab w:val="clear" w:pos="340"/>
      </w:tabs>
    </w:pPr>
  </w:style>
  <w:style w:type="character" w:customStyle="1" w:styleId="WingdingSymbols">
    <w:name w:val="Wingding Symbols"/>
    <w:rsid w:val="001E2922"/>
    <w:rPr>
      <w:rFonts w:ascii="Wingdings" w:hAnsi="Wingdings"/>
    </w:rPr>
  </w:style>
  <w:style w:type="paragraph" w:customStyle="1" w:styleId="TableHeading">
    <w:name w:val="Table Heading"/>
    <w:basedOn w:val="HeadingBase"/>
    <w:rsid w:val="001E2922"/>
    <w:pPr>
      <w:keepLines/>
      <w:pBdr>
        <w:bottom w:val="single" w:sz="6" w:space="1" w:color="918585"/>
      </w:pBdr>
      <w:spacing w:before="240"/>
    </w:pPr>
  </w:style>
  <w:style w:type="character" w:customStyle="1" w:styleId="HotSpot">
    <w:name w:val="HotSpot"/>
    <w:rsid w:val="001E2922"/>
    <w:rPr>
      <w:color w:val="0033CC"/>
      <w:u w:val="none"/>
    </w:rPr>
  </w:style>
  <w:style w:type="paragraph" w:customStyle="1" w:styleId="BodyTextRight">
    <w:name w:val="Body Text Right"/>
    <w:basedOn w:val="BodyText"/>
    <w:rsid w:val="001E2922"/>
    <w:pPr>
      <w:spacing w:before="0" w:after="0"/>
      <w:jc w:val="right"/>
    </w:pPr>
  </w:style>
  <w:style w:type="paragraph" w:styleId="Index3">
    <w:name w:val="index 3"/>
    <w:basedOn w:val="ListNumber2"/>
    <w:next w:val="Normal"/>
    <w:semiHidden/>
    <w:rsid w:val="001E2922"/>
    <w:pPr>
      <w:numPr>
        <w:numId w:val="0"/>
      </w:numPr>
      <w:tabs>
        <w:tab w:val="right" w:leader="dot" w:pos="4176"/>
      </w:tabs>
    </w:pPr>
  </w:style>
  <w:style w:type="paragraph" w:styleId="ListNumber2">
    <w:name w:val="List Number 2"/>
    <w:basedOn w:val="List2"/>
    <w:rsid w:val="001E2922"/>
    <w:pPr>
      <w:numPr>
        <w:numId w:val="9"/>
      </w:numPr>
      <w:tabs>
        <w:tab w:val="clear" w:pos="1060"/>
      </w:tabs>
    </w:pPr>
  </w:style>
  <w:style w:type="paragraph" w:customStyle="1" w:styleId="MarginNote">
    <w:name w:val="Margin Note"/>
    <w:basedOn w:val="BodyText"/>
    <w:rsid w:val="001E2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922"/>
    <w:rPr>
      <w:sz w:val="32"/>
    </w:rPr>
  </w:style>
  <w:style w:type="paragraph" w:customStyle="1" w:styleId="HeadingProcedure">
    <w:name w:val="Heading Procedure"/>
    <w:basedOn w:val="HeadingBase"/>
    <w:next w:val="Normal"/>
    <w:rsid w:val="001E2922"/>
    <w:pPr>
      <w:tabs>
        <w:tab w:val="left" w:pos="0"/>
      </w:tabs>
      <w:spacing w:before="120" w:after="60"/>
    </w:pPr>
    <w:rPr>
      <w:i/>
      <w:color w:val="918585"/>
      <w:sz w:val="22"/>
    </w:rPr>
  </w:style>
  <w:style w:type="paragraph" w:customStyle="1" w:styleId="TableBodyText">
    <w:name w:val="Table Body Text"/>
    <w:basedOn w:val="BodyText"/>
    <w:rsid w:val="001E2922"/>
    <w:pPr>
      <w:spacing w:before="60" w:after="60"/>
    </w:pPr>
  </w:style>
  <w:style w:type="paragraph" w:styleId="ListContinue">
    <w:name w:val="List Continue"/>
    <w:basedOn w:val="List"/>
    <w:rsid w:val="001E2922"/>
    <w:pPr>
      <w:ind w:firstLine="0"/>
    </w:pPr>
  </w:style>
  <w:style w:type="paragraph" w:customStyle="1" w:styleId="ListNote">
    <w:name w:val="List Note"/>
    <w:basedOn w:val="List"/>
    <w:rsid w:val="001E2922"/>
    <w:pPr>
      <w:pBdr>
        <w:top w:val="single" w:sz="6" w:space="2" w:color="918585"/>
        <w:bottom w:val="single" w:sz="6" w:space="2" w:color="918585"/>
      </w:pBdr>
      <w:tabs>
        <w:tab w:val="left" w:pos="1021"/>
      </w:tabs>
      <w:ind w:firstLine="0"/>
    </w:pPr>
  </w:style>
  <w:style w:type="paragraph" w:customStyle="1" w:styleId="Warning">
    <w:name w:val="Warning"/>
    <w:basedOn w:val="BodyText"/>
    <w:rsid w:val="001E2922"/>
    <w:pPr>
      <w:shd w:val="clear" w:color="auto" w:fill="D9D9D9"/>
      <w:tabs>
        <w:tab w:val="left" w:pos="992"/>
      </w:tabs>
      <w:ind w:left="119" w:right="119"/>
    </w:pPr>
    <w:rPr>
      <w:sz w:val="20"/>
    </w:rPr>
  </w:style>
  <w:style w:type="paragraph" w:customStyle="1" w:styleId="MarginIcons">
    <w:name w:val="Margin Icons"/>
    <w:basedOn w:val="BodyText"/>
    <w:rsid w:val="001E2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922"/>
    <w:rPr>
      <w:rFonts w:ascii="Courier New" w:hAnsi="Courier New"/>
    </w:rPr>
  </w:style>
  <w:style w:type="paragraph" w:customStyle="1" w:styleId="NoteBullet">
    <w:name w:val="Note Bullet"/>
    <w:basedOn w:val="Note"/>
    <w:rsid w:val="001E2922"/>
    <w:pPr>
      <w:tabs>
        <w:tab w:val="clear" w:pos="680"/>
      </w:tabs>
      <w:spacing w:before="60" w:after="60"/>
    </w:pPr>
  </w:style>
  <w:style w:type="paragraph" w:customStyle="1" w:styleId="SubHeading2">
    <w:name w:val="SubHeading2"/>
    <w:basedOn w:val="HeadingBase"/>
    <w:rsid w:val="001E2922"/>
    <w:pPr>
      <w:spacing w:before="240" w:after="60"/>
    </w:pPr>
    <w:rPr>
      <w:sz w:val="20"/>
    </w:rPr>
  </w:style>
  <w:style w:type="paragraph" w:customStyle="1" w:styleId="SubHeading1">
    <w:name w:val="SubHeading1"/>
    <w:basedOn w:val="HeadingBase"/>
    <w:rsid w:val="001E2922"/>
    <w:pPr>
      <w:spacing w:before="240" w:after="60"/>
    </w:pPr>
    <w:rPr>
      <w:color w:val="918585"/>
      <w:sz w:val="22"/>
    </w:rPr>
  </w:style>
  <w:style w:type="paragraph" w:customStyle="1" w:styleId="SideHeading">
    <w:name w:val="Side Heading"/>
    <w:basedOn w:val="HeadingBase"/>
    <w:rsid w:val="001E2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922"/>
    <w:pPr>
      <w:numPr>
        <w:numId w:val="10"/>
      </w:numPr>
    </w:pPr>
  </w:style>
  <w:style w:type="paragraph" w:styleId="PlainText">
    <w:name w:val="Plain Text"/>
    <w:basedOn w:val="Normal"/>
    <w:link w:val="PlainTextChar"/>
    <w:rsid w:val="001E2922"/>
    <w:rPr>
      <w:sz w:val="20"/>
    </w:rPr>
  </w:style>
  <w:style w:type="character" w:customStyle="1" w:styleId="PlainTextChar">
    <w:name w:val="Plain Text Char"/>
    <w:basedOn w:val="DefaultParagraphFont"/>
    <w:link w:val="PlainText"/>
    <w:rsid w:val="001E2922"/>
    <w:rPr>
      <w:rFonts w:ascii="Courier New" w:eastAsia="Times New Roman" w:hAnsi="Courier New" w:cs="Times New Roman"/>
      <w:sz w:val="20"/>
      <w:szCs w:val="20"/>
      <w:lang w:eastAsia="en-US"/>
    </w:rPr>
  </w:style>
  <w:style w:type="character" w:customStyle="1" w:styleId="MenuOption">
    <w:name w:val="Menu Option"/>
    <w:basedOn w:val="DefaultParagraphFont"/>
    <w:rsid w:val="001E2922"/>
    <w:rPr>
      <w:b/>
      <w:smallCaps/>
    </w:rPr>
  </w:style>
  <w:style w:type="paragraph" w:customStyle="1" w:styleId="TableListNumber">
    <w:name w:val="Table List Number"/>
    <w:basedOn w:val="ListNumber"/>
    <w:rsid w:val="001E2922"/>
    <w:pPr>
      <w:numPr>
        <w:numId w:val="0"/>
      </w:numPr>
    </w:pPr>
  </w:style>
  <w:style w:type="paragraph" w:styleId="TOC4">
    <w:name w:val="toc 4"/>
    <w:basedOn w:val="TOCBase"/>
    <w:next w:val="Normal"/>
    <w:semiHidden/>
    <w:rsid w:val="001E2922"/>
    <w:pPr>
      <w:tabs>
        <w:tab w:val="right" w:leader="dot" w:pos="9071"/>
      </w:tabs>
      <w:ind w:left="1701"/>
    </w:pPr>
  </w:style>
  <w:style w:type="paragraph" w:customStyle="1" w:styleId="ListAlpha">
    <w:name w:val="List Alpha"/>
    <w:basedOn w:val="List"/>
    <w:rsid w:val="001E2922"/>
    <w:pPr>
      <w:numPr>
        <w:numId w:val="8"/>
      </w:numPr>
    </w:pPr>
  </w:style>
  <w:style w:type="paragraph" w:customStyle="1" w:styleId="ListAlpha2">
    <w:name w:val="List Alpha 2"/>
    <w:basedOn w:val="List2"/>
    <w:rsid w:val="001E2922"/>
    <w:pPr>
      <w:numPr>
        <w:numId w:val="7"/>
      </w:numPr>
    </w:pPr>
  </w:style>
  <w:style w:type="paragraph" w:styleId="List2">
    <w:name w:val="List 2"/>
    <w:basedOn w:val="BodyText"/>
    <w:rsid w:val="001E2922"/>
    <w:pPr>
      <w:tabs>
        <w:tab w:val="left" w:pos="680"/>
      </w:tabs>
      <w:spacing w:before="60" w:after="60"/>
      <w:ind w:left="680" w:hanging="340"/>
    </w:pPr>
  </w:style>
  <w:style w:type="paragraph" w:styleId="List3">
    <w:name w:val="List 3"/>
    <w:basedOn w:val="BodyText"/>
    <w:rsid w:val="001E2922"/>
    <w:pPr>
      <w:tabs>
        <w:tab w:val="left" w:pos="1021"/>
      </w:tabs>
      <w:spacing w:before="60" w:after="60"/>
      <w:ind w:left="1020" w:hanging="340"/>
    </w:pPr>
  </w:style>
  <w:style w:type="paragraph" w:styleId="List4">
    <w:name w:val="List 4"/>
    <w:basedOn w:val="BodyText"/>
    <w:rsid w:val="001E2922"/>
    <w:pPr>
      <w:tabs>
        <w:tab w:val="left" w:pos="1361"/>
      </w:tabs>
      <w:spacing w:before="60" w:after="60"/>
      <w:ind w:left="1361" w:hanging="340"/>
    </w:pPr>
  </w:style>
  <w:style w:type="paragraph" w:styleId="List5">
    <w:name w:val="List 5"/>
    <w:basedOn w:val="BodyText"/>
    <w:rsid w:val="001E2922"/>
    <w:pPr>
      <w:tabs>
        <w:tab w:val="left" w:pos="1701"/>
      </w:tabs>
      <w:spacing w:before="60" w:after="60"/>
      <w:ind w:left="1701" w:hanging="340"/>
    </w:pPr>
  </w:style>
  <w:style w:type="paragraph" w:styleId="ListBullet3">
    <w:name w:val="List Bullet 3"/>
    <w:basedOn w:val="List3"/>
    <w:rsid w:val="001E2922"/>
    <w:pPr>
      <w:numPr>
        <w:numId w:val="13"/>
      </w:numPr>
      <w:tabs>
        <w:tab w:val="clear" w:pos="1021"/>
      </w:tabs>
      <w:ind w:left="1037" w:hanging="357"/>
    </w:pPr>
  </w:style>
  <w:style w:type="paragraph" w:styleId="ListBullet4">
    <w:name w:val="List Bullet 4"/>
    <w:basedOn w:val="List4"/>
    <w:rsid w:val="001E2922"/>
    <w:pPr>
      <w:numPr>
        <w:numId w:val="2"/>
      </w:numPr>
      <w:tabs>
        <w:tab w:val="clear" w:pos="1361"/>
      </w:tabs>
    </w:pPr>
  </w:style>
  <w:style w:type="paragraph" w:styleId="ListBullet5">
    <w:name w:val="List Bullet 5"/>
    <w:basedOn w:val="List5"/>
    <w:rsid w:val="001E2922"/>
    <w:pPr>
      <w:numPr>
        <w:numId w:val="3"/>
      </w:numPr>
    </w:pPr>
  </w:style>
  <w:style w:type="paragraph" w:styleId="ListContinue2">
    <w:name w:val="List Continue 2"/>
    <w:basedOn w:val="List2"/>
    <w:rsid w:val="001E2922"/>
    <w:pPr>
      <w:ind w:firstLine="0"/>
    </w:pPr>
  </w:style>
  <w:style w:type="paragraph" w:styleId="ListContinue3">
    <w:name w:val="List Continue 3"/>
    <w:basedOn w:val="List3"/>
    <w:rsid w:val="001E2922"/>
    <w:pPr>
      <w:ind w:left="1021" w:firstLine="0"/>
    </w:pPr>
  </w:style>
  <w:style w:type="paragraph" w:styleId="ListContinue4">
    <w:name w:val="List Continue 4"/>
    <w:basedOn w:val="List4"/>
    <w:rsid w:val="001E2922"/>
    <w:pPr>
      <w:ind w:firstLine="0"/>
    </w:pPr>
  </w:style>
  <w:style w:type="paragraph" w:styleId="ListContinue5">
    <w:name w:val="List Continue 5"/>
    <w:basedOn w:val="List5"/>
    <w:rsid w:val="001E2922"/>
    <w:pPr>
      <w:ind w:firstLine="0"/>
    </w:pPr>
  </w:style>
  <w:style w:type="paragraph" w:styleId="ListNumber3">
    <w:name w:val="List Number 3"/>
    <w:basedOn w:val="List3"/>
    <w:rsid w:val="001E2922"/>
    <w:pPr>
      <w:numPr>
        <w:numId w:val="4"/>
      </w:numPr>
    </w:pPr>
  </w:style>
  <w:style w:type="paragraph" w:styleId="ListNumber4">
    <w:name w:val="List Number 4"/>
    <w:basedOn w:val="List4"/>
    <w:rsid w:val="001E2922"/>
    <w:pPr>
      <w:numPr>
        <w:numId w:val="5"/>
      </w:numPr>
    </w:pPr>
  </w:style>
  <w:style w:type="paragraph" w:styleId="ListNumber5">
    <w:name w:val="List Number 5"/>
    <w:basedOn w:val="List5"/>
    <w:rsid w:val="001E2922"/>
    <w:pPr>
      <w:numPr>
        <w:numId w:val="6"/>
      </w:numPr>
    </w:pPr>
  </w:style>
  <w:style w:type="paragraph" w:styleId="BlockText">
    <w:name w:val="Block Text"/>
    <w:basedOn w:val="Normal"/>
    <w:rsid w:val="001E2922"/>
    <w:pPr>
      <w:spacing w:after="120"/>
      <w:ind w:left="1440" w:right="1440"/>
    </w:pPr>
  </w:style>
  <w:style w:type="character" w:customStyle="1" w:styleId="Subscript">
    <w:name w:val="Subscript"/>
    <w:basedOn w:val="DefaultParagraphFont"/>
    <w:rsid w:val="001E2922"/>
    <w:rPr>
      <w:sz w:val="16"/>
      <w:vertAlign w:val="subscript"/>
    </w:rPr>
  </w:style>
  <w:style w:type="character" w:customStyle="1" w:styleId="Superscript">
    <w:name w:val="Superscript"/>
    <w:basedOn w:val="DefaultParagraphFont"/>
    <w:rsid w:val="001E2922"/>
    <w:rPr>
      <w:sz w:val="16"/>
      <w:vertAlign w:val="superscript"/>
    </w:rPr>
  </w:style>
  <w:style w:type="character" w:customStyle="1" w:styleId="Symbols">
    <w:name w:val="Symbols"/>
    <w:basedOn w:val="DefaultParagraphFont"/>
    <w:rsid w:val="001E2922"/>
    <w:rPr>
      <w:rFonts w:ascii="Symbol" w:hAnsi="Symbol"/>
    </w:rPr>
  </w:style>
  <w:style w:type="character" w:customStyle="1" w:styleId="MenuOptions">
    <w:name w:val="Menu Options"/>
    <w:basedOn w:val="DefaultParagraphFont"/>
    <w:rsid w:val="001E2922"/>
    <w:rPr>
      <w:rFonts w:ascii="Arial Narrow" w:hAnsi="Arial Narrow"/>
      <w:smallCaps/>
    </w:rPr>
  </w:style>
  <w:style w:type="character" w:customStyle="1" w:styleId="Buttons">
    <w:name w:val="Buttons"/>
    <w:basedOn w:val="DefaultParagraphFont"/>
    <w:rsid w:val="001E2922"/>
    <w:rPr>
      <w:b/>
    </w:rPr>
  </w:style>
  <w:style w:type="character" w:customStyle="1" w:styleId="Underlined">
    <w:name w:val="Underlined"/>
    <w:basedOn w:val="DefaultParagraphFont"/>
    <w:rsid w:val="001E2922"/>
    <w:rPr>
      <w:u w:val="single"/>
    </w:rPr>
  </w:style>
  <w:style w:type="paragraph" w:customStyle="1" w:styleId="TableBodyTextRight">
    <w:name w:val="Table Body Text Right"/>
    <w:basedOn w:val="TableBodyText"/>
    <w:rsid w:val="001E2922"/>
    <w:pPr>
      <w:widowControl w:val="0"/>
      <w:autoSpaceDE w:val="0"/>
      <w:autoSpaceDN w:val="0"/>
      <w:adjustRightInd w:val="0"/>
      <w:jc w:val="right"/>
    </w:pPr>
    <w:rPr>
      <w:rFonts w:cs="Arial"/>
      <w:szCs w:val="18"/>
    </w:rPr>
  </w:style>
  <w:style w:type="paragraph" w:customStyle="1" w:styleId="CopyrightText">
    <w:name w:val="Copyright Text"/>
    <w:basedOn w:val="BodyText"/>
    <w:rsid w:val="001E2922"/>
    <w:rPr>
      <w:sz w:val="18"/>
    </w:rPr>
  </w:style>
  <w:style w:type="paragraph" w:customStyle="1" w:styleId="BodySmallRight">
    <w:name w:val="Body Small Right"/>
    <w:basedOn w:val="BodyTextRight"/>
    <w:rsid w:val="001E2922"/>
    <w:rPr>
      <w:sz w:val="18"/>
      <w:szCs w:val="18"/>
    </w:rPr>
  </w:style>
  <w:style w:type="paragraph" w:customStyle="1" w:styleId="MarginEdition">
    <w:name w:val="Margin Edition"/>
    <w:basedOn w:val="MarginNote"/>
    <w:rsid w:val="001E2922"/>
    <w:pPr>
      <w:spacing w:before="0" w:after="0"/>
    </w:pPr>
    <w:rPr>
      <w:rFonts w:ascii="Times New Roman" w:hAnsi="Times New Roman"/>
      <w:color w:val="999999"/>
    </w:rPr>
  </w:style>
  <w:style w:type="paragraph" w:customStyle="1" w:styleId="Spacer">
    <w:name w:val="Spacer"/>
    <w:basedOn w:val="Normal"/>
    <w:rsid w:val="001E2922"/>
    <w:rPr>
      <w:sz w:val="2"/>
      <w:szCs w:val="2"/>
    </w:rPr>
  </w:style>
  <w:style w:type="character" w:customStyle="1" w:styleId="Small">
    <w:name w:val="Small"/>
    <w:basedOn w:val="DefaultParagraphFont"/>
    <w:rsid w:val="001E2922"/>
    <w:rPr>
      <w:sz w:val="16"/>
    </w:rPr>
  </w:style>
  <w:style w:type="paragraph" w:customStyle="1" w:styleId="WideTable">
    <w:name w:val="Wide Table"/>
    <w:basedOn w:val="Normal"/>
    <w:rsid w:val="001E2922"/>
    <w:pPr>
      <w:ind w:left="-1418"/>
    </w:pPr>
    <w:rPr>
      <w:sz w:val="2"/>
      <w:szCs w:val="2"/>
    </w:rPr>
  </w:style>
  <w:style w:type="character" w:styleId="PageNumber">
    <w:name w:val="page number"/>
    <w:basedOn w:val="DefaultParagraphFont"/>
    <w:rsid w:val="001E2922"/>
  </w:style>
  <w:style w:type="paragraph" w:styleId="Quote">
    <w:name w:val="Quote"/>
    <w:basedOn w:val="Heading1"/>
    <w:link w:val="QuoteChar"/>
    <w:qFormat/>
    <w:rsid w:val="001E2922"/>
    <w:rPr>
      <w:b w:val="0"/>
      <w:sz w:val="72"/>
      <w:szCs w:val="72"/>
      <w:lang w:val="en-NZ"/>
    </w:rPr>
  </w:style>
  <w:style w:type="character" w:customStyle="1" w:styleId="QuoteChar">
    <w:name w:val="Quote Char"/>
    <w:basedOn w:val="DefaultParagraphFont"/>
    <w:link w:val="Quote"/>
    <w:rsid w:val="001E2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922"/>
    <w:pPr>
      <w:pageBreakBefore/>
    </w:pPr>
  </w:style>
  <w:style w:type="paragraph" w:customStyle="1" w:styleId="Border">
    <w:name w:val="Border"/>
    <w:basedOn w:val="Normal"/>
    <w:qFormat/>
    <w:rsid w:val="001E2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922"/>
    <w:rPr>
      <w:b/>
      <w:bCs/>
      <w:i/>
      <w:iCs/>
      <w:color w:val="auto"/>
    </w:rPr>
  </w:style>
  <w:style w:type="paragraph" w:styleId="IntenseQuote">
    <w:name w:val="Intense Quote"/>
    <w:basedOn w:val="Normal"/>
    <w:next w:val="Normal"/>
    <w:link w:val="IntenseQuoteChar"/>
    <w:uiPriority w:val="30"/>
    <w:qFormat/>
    <w:rsid w:val="001E2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922"/>
    <w:rPr>
      <w:smallCaps/>
      <w:color w:val="auto"/>
      <w:u w:val="single"/>
    </w:rPr>
  </w:style>
  <w:style w:type="character" w:styleId="IntenseReference">
    <w:name w:val="Intense Reference"/>
    <w:basedOn w:val="DefaultParagraphFont"/>
    <w:uiPriority w:val="32"/>
    <w:qFormat/>
    <w:rsid w:val="001E2922"/>
    <w:rPr>
      <w:b/>
      <w:bCs/>
      <w:smallCaps/>
      <w:color w:val="auto"/>
      <w:spacing w:val="5"/>
      <w:u w:val="single"/>
    </w:rPr>
  </w:style>
  <w:style w:type="paragraph" w:customStyle="1" w:styleId="2ColumnHeading">
    <w:name w:val="2Column Heading"/>
    <w:basedOn w:val="BodyText"/>
    <w:qFormat/>
    <w:rsid w:val="001E2922"/>
    <w:pPr>
      <w:spacing w:after="60"/>
      <w:ind w:left="-2268"/>
    </w:pPr>
    <w:rPr>
      <w:b/>
    </w:rPr>
  </w:style>
  <w:style w:type="paragraph" w:customStyle="1" w:styleId="Heading1TOC">
    <w:name w:val="Heading1 TOC"/>
    <w:basedOn w:val="Normal"/>
    <w:qFormat/>
    <w:rsid w:val="001E2922"/>
    <w:pPr>
      <w:spacing w:before="240" w:after="120"/>
    </w:pPr>
    <w:rPr>
      <w:rFonts w:ascii="Times New Roman" w:hAnsi="Times New Roman"/>
      <w:b/>
      <w:sz w:val="32"/>
    </w:rPr>
  </w:style>
  <w:style w:type="paragraph" w:customStyle="1" w:styleId="Heading2TOC">
    <w:name w:val="Heading2 TOC"/>
    <w:basedOn w:val="Normal"/>
    <w:qFormat/>
    <w:rsid w:val="001E2922"/>
    <w:pPr>
      <w:spacing w:before="240" w:after="60"/>
    </w:pPr>
    <w:rPr>
      <w:rFonts w:ascii="Times New Roman" w:hAnsi="Times New Roman"/>
      <w:b/>
      <w:sz w:val="28"/>
    </w:rPr>
  </w:style>
  <w:style w:type="character" w:customStyle="1" w:styleId="Underline">
    <w:name w:val="Underline"/>
    <w:basedOn w:val="DefaultParagraphFont"/>
    <w:qFormat/>
    <w:rsid w:val="001E2922"/>
    <w:rPr>
      <w:u w:val="single"/>
    </w:rPr>
  </w:style>
  <w:style w:type="character" w:customStyle="1" w:styleId="BoldandItalics">
    <w:name w:val="Bold and Italics"/>
    <w:qFormat/>
    <w:rsid w:val="001E2922"/>
    <w:rPr>
      <w:b/>
      <w:i/>
      <w:u w:val="none"/>
    </w:rPr>
  </w:style>
  <w:style w:type="paragraph" w:styleId="BalloonText">
    <w:name w:val="Balloon Text"/>
    <w:basedOn w:val="Normal"/>
    <w:link w:val="BalloonTextChar"/>
    <w:rsid w:val="001E2922"/>
    <w:rPr>
      <w:rFonts w:ascii="Tahoma" w:hAnsi="Tahoma" w:cs="Tahoma"/>
      <w:sz w:val="16"/>
      <w:szCs w:val="16"/>
    </w:rPr>
  </w:style>
  <w:style w:type="character" w:customStyle="1" w:styleId="BalloonTextChar">
    <w:name w:val="Balloon Text Char"/>
    <w:basedOn w:val="DefaultParagraphFont"/>
    <w:link w:val="BalloonText"/>
    <w:rsid w:val="001E2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922"/>
    <w:rPr>
      <w:b/>
      <w:color w:val="660033"/>
      <w:spacing w:val="0"/>
    </w:rPr>
  </w:style>
  <w:style w:type="paragraph" w:customStyle="1" w:styleId="Nameditemlist">
    <w:name w:val="Named item list"/>
    <w:basedOn w:val="BodyText"/>
    <w:qFormat/>
    <w:rsid w:val="001E2922"/>
    <w:pPr>
      <w:tabs>
        <w:tab w:val="left" w:pos="2835"/>
      </w:tabs>
      <w:ind w:left="2835" w:hanging="2835"/>
    </w:pPr>
  </w:style>
  <w:style w:type="paragraph" w:customStyle="1" w:styleId="BodyTextnopadding">
    <w:name w:val="Body Text no padding"/>
    <w:basedOn w:val="BodyText"/>
    <w:qFormat/>
    <w:rsid w:val="001E2922"/>
    <w:pPr>
      <w:spacing w:before="0" w:after="0"/>
    </w:pPr>
  </w:style>
  <w:style w:type="paragraph" w:customStyle="1" w:styleId="BodyTextBold">
    <w:name w:val="Body Text Bold"/>
    <w:basedOn w:val="BodyText"/>
    <w:qFormat/>
    <w:rsid w:val="001E2922"/>
    <w:rPr>
      <w:b/>
    </w:rPr>
  </w:style>
  <w:style w:type="character" w:styleId="Hyperlink">
    <w:name w:val="Hyperlink"/>
    <w:basedOn w:val="DefaultParagraphFont"/>
    <w:uiPriority w:val="99"/>
    <w:unhideWhenUsed/>
    <w:rsid w:val="00B47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990</Words>
  <Characters>6279</Characters>
  <Application>Microsoft Office Word</Application>
  <DocSecurity>0</DocSecurity>
  <Lines>209</Lines>
  <Paragraphs>113</Paragraphs>
  <ScaleCrop>false</ScaleCrop>
  <Company>Author-it Software Corporation Ltd.</Company>
  <LinksUpToDate>false</LinksUpToDate>
  <CharactersWithSpaces>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TLID0042 Handle furniture and effects</dc:title>
  <dc:subject>Approved</dc:subject>
  <dc:creator>Industry Skills Australia</dc:creator>
  <cp:keywords>Release: 1</cp:keywords>
  <dc:description>Review Date: 12 April 2008</dc:description>
  <cp:lastModifiedBy>HSD_TPCMSd.prod</cp:lastModifiedBy>
  <cp:revision>3</cp:revision>
  <dcterms:created xsi:type="dcterms:W3CDTF">2025-05-29T06:03:00Z</dcterms:created>
  <dcterms:modified xsi:type="dcterms:W3CDTF">2025-05-29T06:04:00Z</dcterms:modified>
</cp:coreProperties>
</file>