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2D4E" w:rsidP="00B82D4E">
      <w:pPr>
        <w:pStyle w:val="Title"/>
      </w:pPr>
      <w:r>
        <w:fldChar w:fldCharType="begin"/>
      </w:r>
      <w:r>
        <w:instrText xml:space="preserve"> TITLE   \* MERGEFORMAT </w:instrText>
      </w:r>
      <w:r>
        <w:fldChar w:fldCharType="separate"/>
      </w:r>
      <w:r>
        <w:t>TLID0019 Shift loads using manually-operated equipment</w:t>
      </w:r>
      <w:r>
        <w:fldChar w:fldCharType="end"/>
      </w:r>
    </w:p>
    <w:p w:rsidR="00B82D4E" w:rsidP="00B82D4E">
      <w:pPr>
        <w:pStyle w:val="Version"/>
        <w:sectPr w:rsidSect="00EA79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79E1" w:rsidP="00EA79E1">
      <w:pPr>
        <w:pStyle w:val="SuperHeading"/>
      </w:pPr>
      <w:r w:rsidRPr="00EA79E1">
        <w:t>TLID0019 Shift loads using manually-operated equipment</w:t>
      </w:r>
    </w:p>
    <w:p w:rsidR="00000000" w:rsidRPr="00EA79E1" w:rsidP="00EA79E1">
      <w:pPr>
        <w:pStyle w:val="Heading1"/>
      </w:pPr>
      <w:bookmarkStart w:id="1" w:name="O_1192457"/>
      <w:bookmarkEnd w:id="1"/>
      <w:r w:rsidRPr="00EA79E1">
        <w:t>Modification History</w:t>
      </w:r>
    </w:p>
    <w:tbl>
      <w:tblPr>
        <w:tblW w:w="9497" w:type="dxa"/>
        <w:tblLayout w:type="fixed"/>
        <w:tblCellMar>
          <w:left w:w="62" w:type="dxa"/>
          <w:right w:w="62" w:type="dxa"/>
        </w:tblCellMar>
        <w:tblLook w:val="0000"/>
      </w:tblPr>
      <w:tblGrid>
        <w:gridCol w:w="9497"/>
      </w:tblGrid>
      <w:tr w:rsidTr="00EA79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9E1" w:rsidP="00EA79E1">
            <w:pPr>
              <w:pStyle w:val="BodyText"/>
            </w:pPr>
            <w:r w:rsidRPr="00EA79E1">
              <w:rPr>
                <w:rStyle w:val="SpecialBold"/>
              </w:rPr>
              <w:t>Release 1.</w:t>
            </w:r>
            <w:r w:rsidRPr="00EA79E1">
              <w:t xml:space="preserve"> This is the first release of this unit of competency in the TLI Transport and Logistics Training Package.</w:t>
            </w:r>
          </w:p>
        </w:tc>
      </w:tr>
    </w:tbl>
    <w:p w:rsidR="00B82D4E" w:rsidP="00EA79E1">
      <w:pPr>
        <w:pStyle w:val="NoPaddingFontSize1"/>
      </w:pPr>
    </w:p>
    <w:p w:rsidR="00B82D4E" w:rsidP="00EA79E1">
      <w:pPr>
        <w:pStyle w:val="NoPaddingFontSize1"/>
      </w:pPr>
    </w:p>
    <w:p w:rsidR="00000000" w:rsidRPr="00EA79E1" w:rsidP="00EA79E1">
      <w:pPr>
        <w:pStyle w:val="Heading1"/>
      </w:pPr>
      <w:bookmarkStart w:id="2" w:name="O_1192458"/>
      <w:bookmarkEnd w:id="2"/>
      <w:r w:rsidRPr="00EA79E1">
        <w:t>Application</w:t>
      </w:r>
    </w:p>
    <w:tbl>
      <w:tblPr>
        <w:tblW w:w="9497" w:type="dxa"/>
        <w:tblLayout w:type="fixed"/>
        <w:tblCellMar>
          <w:left w:w="62" w:type="dxa"/>
          <w:right w:w="62" w:type="dxa"/>
        </w:tblCellMar>
        <w:tblLook w:val="0000"/>
      </w:tblPr>
      <w:tblGrid>
        <w:gridCol w:w="9497"/>
      </w:tblGrid>
      <w:tr w:rsidTr="00EA79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9E1" w:rsidP="00EA79E1">
            <w:pPr>
              <w:pStyle w:val="BodyText"/>
            </w:pPr>
            <w:r w:rsidRPr="00EA79E1">
              <w:t>This unit involves the skills and knowledge required to shift load</w:t>
            </w:r>
            <w:r w:rsidRPr="00EA79E1">
              <w:t xml:space="preserve">s using manually-operated equipment. </w:t>
            </w:r>
          </w:p>
          <w:p w:rsidR="00000000" w:rsidRPr="00EA79E1" w:rsidP="00EA79E1">
            <w:pPr>
              <w:pStyle w:val="BodyText"/>
            </w:pPr>
            <w:r w:rsidRPr="00EA79E1">
              <w:t>It includes assessing the risks associated with relocating the load, planning the relocation process, carrying out the relocation with the aid of the equipment in accordance with the plan, and refurbishing the equipmen</w:t>
            </w:r>
            <w:r w:rsidRPr="00EA79E1">
              <w:t>t and worksite in compliance with the relevant work health and safety (WHS)/occupational health and safety (OHS) regulations within the transport and logistics industry.</w:t>
            </w:r>
          </w:p>
          <w:p w:rsidR="00000000" w:rsidRPr="00EA79E1" w:rsidP="00EA79E1">
            <w:pPr>
              <w:pStyle w:val="BodyText"/>
            </w:pPr>
            <w:r w:rsidRPr="00EA79E1">
              <w:t>Work is performed under some supervision generally within a team environment.</w:t>
            </w:r>
          </w:p>
          <w:p w:rsidR="00000000" w:rsidRPr="00EA79E1" w:rsidP="00EA79E1">
            <w:pPr>
              <w:pStyle w:val="BodyText"/>
            </w:pPr>
            <w:r w:rsidRPr="00EA79E1">
              <w:t>No licen</w:t>
            </w:r>
            <w:r w:rsidRPr="00EA79E1">
              <w:t>sing, legislative or certification requirements apply to this unit at the time of publication.</w:t>
            </w:r>
          </w:p>
        </w:tc>
      </w:tr>
    </w:tbl>
    <w:p w:rsidR="00B82D4E" w:rsidP="00EA79E1">
      <w:pPr>
        <w:pStyle w:val="NoPaddingFontSize1"/>
      </w:pPr>
    </w:p>
    <w:p w:rsidR="00B82D4E" w:rsidP="00EA79E1">
      <w:pPr>
        <w:pStyle w:val="NoPaddingFontSize1"/>
      </w:pPr>
    </w:p>
    <w:p w:rsidR="00000000" w:rsidRPr="00EA79E1" w:rsidP="00EA79E1">
      <w:pPr>
        <w:pStyle w:val="Heading1"/>
      </w:pPr>
      <w:bookmarkStart w:id="3" w:name="O_1192459"/>
      <w:bookmarkEnd w:id="3"/>
      <w:r w:rsidRPr="00EA79E1">
        <w:t>Pre-requisite Unit</w:t>
      </w:r>
    </w:p>
    <w:tbl>
      <w:tblPr>
        <w:tblW w:w="9497" w:type="dxa"/>
        <w:tblLayout w:type="fixed"/>
        <w:tblCellMar>
          <w:left w:w="62" w:type="dxa"/>
          <w:right w:w="62" w:type="dxa"/>
        </w:tblCellMar>
        <w:tblLook w:val="0000"/>
      </w:tblPr>
      <w:tblGrid>
        <w:gridCol w:w="9497"/>
      </w:tblGrid>
      <w:tr w:rsidTr="00EA79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9E1" w:rsidP="00EA79E1">
            <w:pPr>
              <w:pStyle w:val="BodyText"/>
            </w:pPr>
            <w:r w:rsidRPr="00EA79E1">
              <w:t>Not applicable.</w:t>
            </w:r>
          </w:p>
        </w:tc>
      </w:tr>
    </w:tbl>
    <w:p w:rsidR="00B82D4E" w:rsidP="00EA79E1">
      <w:pPr>
        <w:pStyle w:val="NoPaddingFontSize1"/>
      </w:pPr>
    </w:p>
    <w:p w:rsidR="00B82D4E" w:rsidP="00EA79E1">
      <w:pPr>
        <w:pStyle w:val="NoPaddingFontSize1"/>
      </w:pPr>
    </w:p>
    <w:p w:rsidR="00000000" w:rsidRPr="00EA79E1" w:rsidP="00EA79E1">
      <w:pPr>
        <w:pStyle w:val="Heading1"/>
      </w:pPr>
      <w:bookmarkStart w:id="4" w:name="O_1192460"/>
      <w:bookmarkEnd w:id="4"/>
      <w:r w:rsidRPr="00EA79E1">
        <w:t>Competency Field</w:t>
      </w:r>
    </w:p>
    <w:tbl>
      <w:tblPr>
        <w:tblW w:w="9497" w:type="dxa"/>
        <w:tblLayout w:type="fixed"/>
        <w:tblCellMar>
          <w:left w:w="62" w:type="dxa"/>
          <w:right w:w="62" w:type="dxa"/>
        </w:tblCellMar>
        <w:tblLook w:val="0000"/>
      </w:tblPr>
      <w:tblGrid>
        <w:gridCol w:w="9497"/>
      </w:tblGrid>
      <w:tr w:rsidTr="00EA79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9E1" w:rsidP="00EA79E1">
            <w:pPr>
              <w:pStyle w:val="BodyText"/>
            </w:pPr>
            <w:r w:rsidRPr="00EA79E1">
              <w:t>D - Load Handling</w:t>
            </w:r>
          </w:p>
        </w:tc>
      </w:tr>
    </w:tbl>
    <w:p w:rsidR="00B82D4E" w:rsidP="00EA79E1">
      <w:pPr>
        <w:pStyle w:val="NoPaddingFontSize1"/>
      </w:pPr>
    </w:p>
    <w:p w:rsidR="00B82D4E" w:rsidP="00EA79E1">
      <w:pPr>
        <w:pStyle w:val="NoPaddingFontSize1"/>
      </w:pPr>
    </w:p>
    <w:p w:rsidR="00000000" w:rsidRPr="00EA79E1" w:rsidP="00EA79E1">
      <w:pPr>
        <w:pStyle w:val="Heading1"/>
      </w:pPr>
      <w:bookmarkStart w:id="5" w:name="O_1192461"/>
      <w:bookmarkEnd w:id="5"/>
      <w:r w:rsidRPr="00EA79E1">
        <w:t>Unit Sector</w:t>
      </w:r>
    </w:p>
    <w:tbl>
      <w:tblPr>
        <w:tblW w:w="9497" w:type="dxa"/>
        <w:tblLayout w:type="fixed"/>
        <w:tblCellMar>
          <w:left w:w="62" w:type="dxa"/>
          <w:right w:w="62" w:type="dxa"/>
        </w:tblCellMar>
        <w:tblLook w:val="0000"/>
      </w:tblPr>
      <w:tblGrid>
        <w:gridCol w:w="9497"/>
      </w:tblGrid>
      <w:tr w:rsidTr="00EA79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9E1" w:rsidP="00EA79E1">
            <w:pPr>
              <w:pStyle w:val="BodyText"/>
            </w:pPr>
            <w:r w:rsidRPr="00EA79E1">
              <w:t>Not applicable.</w:t>
            </w:r>
          </w:p>
        </w:tc>
      </w:tr>
    </w:tbl>
    <w:p w:rsidR="00B82D4E" w:rsidP="00EA79E1">
      <w:pPr>
        <w:pStyle w:val="NoPaddingFontSize1"/>
      </w:pPr>
    </w:p>
    <w:p w:rsidR="00B82D4E" w:rsidP="00EA79E1">
      <w:pPr>
        <w:pStyle w:val="NoPaddingFontSize1"/>
      </w:pPr>
    </w:p>
    <w:p w:rsidR="00000000" w:rsidRPr="00EA79E1" w:rsidP="00EA79E1">
      <w:pPr>
        <w:pStyle w:val="Heading1"/>
      </w:pPr>
      <w:bookmarkStart w:id="6" w:name="O_1192462"/>
      <w:bookmarkEnd w:id="6"/>
      <w:r w:rsidRPr="00EA79E1">
        <w:t>Elements and Performance Criteria</w:t>
      </w:r>
    </w:p>
    <w:tbl>
      <w:tblPr>
        <w:tblW w:w="0" w:type="auto"/>
        <w:tblCellMar>
          <w:left w:w="62" w:type="dxa"/>
          <w:right w:w="62" w:type="dxa"/>
        </w:tblCellMar>
        <w:tblLook w:val="0000"/>
      </w:tblPr>
      <w:tblGrid>
        <w:gridCol w:w="347"/>
        <w:gridCol w:w="2138"/>
        <w:gridCol w:w="554"/>
        <w:gridCol w:w="6157"/>
      </w:tblGrid>
      <w:tr w:rsidTr="00B82D4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EA79E1" w:rsidP="00EA79E1">
            <w:pPr>
              <w:pStyle w:val="BodyText"/>
            </w:pPr>
            <w:r w:rsidRPr="00EA79E1">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rPr>
                <w:rStyle w:val="SpecialBold"/>
              </w:rPr>
              <w:t>PERFORMANCE CRITERIA</w:t>
            </w:r>
          </w:p>
        </w:tc>
      </w:tr>
      <w:tr w:rsidTr="00B82D4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t>Performance criteria describe the performance needed to demonstrate achievement of the element.</w:t>
            </w:r>
          </w:p>
        </w:tc>
      </w:tr>
      <w:tr w:rsidTr="00B82D4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A79E1" w:rsidP="00EA79E1">
            <w:pPr>
              <w:pStyle w:val="BodyText"/>
            </w:pPr>
            <w:r w:rsidRPr="00EA79E1">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EA79E1" w:rsidP="00EA79E1">
            <w:pPr>
              <w:pStyle w:val="BodyText"/>
            </w:pPr>
            <w:r w:rsidRPr="00EA79E1">
              <w:rPr>
                <w:rStyle w:val="SpecialBold"/>
              </w:rPr>
              <w:t xml:space="preserve">Assess risks associated with </w:t>
            </w:r>
            <w:r w:rsidRPr="00EA79E1">
              <w:rPr>
                <w:rStyle w:val="SpecialBold"/>
              </w:rPr>
              <w:t>relocating loads</w:t>
            </w: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t>Products, goods or materials to be relocated are identified and assessed for the appropriate relocation method</w:t>
            </w:r>
          </w:p>
        </w:tc>
      </w:tr>
      <w:tr w:rsidTr="00B82D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A79E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t>Storage location is determined</w:t>
            </w:r>
          </w:p>
        </w:tc>
      </w:tr>
      <w:tr w:rsidTr="00B82D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A79E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t>Routes to be followed are identified</w:t>
            </w:r>
          </w:p>
        </w:tc>
      </w:tr>
      <w:tr w:rsidTr="00B82D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A79E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t>Points of balance are estimated</w:t>
            </w:r>
          </w:p>
        </w:tc>
      </w:tr>
      <w:tr w:rsidTr="00B82D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A79E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rPr>
                <w:rStyle w:val="SpecialBold"/>
              </w:rPr>
              <w:t>1.5</w:t>
            </w: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t>Risks in potential routes are considered</w:t>
            </w:r>
          </w:p>
        </w:tc>
      </w:tr>
      <w:tr w:rsidTr="00B82D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A79E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rPr>
                <w:rStyle w:val="SpecialBold"/>
              </w:rPr>
              <w:t>1</w:t>
            </w:r>
            <w:r w:rsidRPr="00EA79E1">
              <w:t>.</w:t>
            </w:r>
            <w:r w:rsidRPr="00EA79E1">
              <w:rPr>
                <w:rStyle w:val="SpecialBold"/>
              </w:rPr>
              <w:t>6</w:t>
            </w: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t>Lifting equipment to minimise potential risks is identified</w:t>
            </w:r>
          </w:p>
        </w:tc>
      </w:tr>
      <w:tr w:rsidTr="00B82D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A79E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rPr>
                <w:rStyle w:val="SpecialBold"/>
              </w:rPr>
              <w:t>1.7</w:t>
            </w: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t>Appropriate personal protective equipment (PPE) is identified and used</w:t>
            </w:r>
          </w:p>
        </w:tc>
      </w:tr>
      <w:tr w:rsidTr="00B82D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A79E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rPr>
                <w:rStyle w:val="SpecialBold"/>
              </w:rPr>
              <w:t>1.8</w:t>
            </w: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t>Tools, load shifting equipment and other materials are selected and checked for serviceability and defects are reported to appropriate personnel</w:t>
            </w:r>
          </w:p>
        </w:tc>
      </w:tr>
      <w:tr w:rsidTr="00B82D4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A79E1" w:rsidP="00EA79E1">
            <w:pPr>
              <w:pStyle w:val="BodyText"/>
            </w:pPr>
            <w:r w:rsidRPr="00EA79E1">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EA79E1" w:rsidP="00EA79E1">
            <w:pPr>
              <w:pStyle w:val="BodyText"/>
            </w:pPr>
            <w:r w:rsidRPr="00EA79E1">
              <w:rPr>
                <w:rStyle w:val="SpecialBold"/>
              </w:rPr>
              <w:t>Plan relocation</w:t>
            </w:r>
            <w:r w:rsidRPr="00EA79E1">
              <w:t xml:space="preserve"> </w:t>
            </w:r>
            <w:r w:rsidRPr="00EA79E1">
              <w:rPr>
                <w:rStyle w:val="SpecialBold"/>
              </w:rPr>
              <w:t>of loads</w:t>
            </w: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t>Load is examined to determine condition, length, bulk and weight</w:t>
            </w:r>
          </w:p>
        </w:tc>
      </w:tr>
      <w:tr w:rsidTr="00B82D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A79E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t>Load shifting equipment is selected in accordance with workplace procedures</w:t>
            </w:r>
          </w:p>
        </w:tc>
      </w:tr>
      <w:tr w:rsidTr="00B82D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A79E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t>Safe procedures for using lifting equipment are identified, including the calculation of safe working load (SWL) and/or working load limit (WLL), for weight of goods to be m</w:t>
            </w:r>
            <w:r w:rsidRPr="00EA79E1">
              <w:t>oved</w:t>
            </w:r>
          </w:p>
        </w:tc>
      </w:tr>
      <w:tr w:rsidTr="00B82D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A79E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t>Process for relocating load is proposed, including predicting and planning for potential difficulties</w:t>
            </w:r>
          </w:p>
        </w:tc>
      </w:tr>
      <w:tr w:rsidTr="00B82D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A79E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rPr>
                <w:rStyle w:val="SpecialBold"/>
              </w:rPr>
              <w:t>2.5</w:t>
            </w: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t>Proposed process is checked against relevant code of practice and workplace procedures for compliance</w:t>
            </w:r>
          </w:p>
        </w:tc>
      </w:tr>
      <w:tr w:rsidTr="00B82D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A79E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rPr>
                <w:rStyle w:val="SpecialBold"/>
              </w:rPr>
              <w:t>2.6</w:t>
            </w: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t>Lifting equipment and accessories are checked for safe operation in accordance with manufacturer instructions and workplace procedures</w:t>
            </w:r>
          </w:p>
        </w:tc>
      </w:tr>
      <w:tr w:rsidTr="00B82D4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A79E1" w:rsidP="00EA79E1">
            <w:pPr>
              <w:pStyle w:val="BodyText"/>
            </w:pPr>
            <w:r w:rsidRPr="00EA79E1">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EA79E1" w:rsidP="00EA79E1">
            <w:pPr>
              <w:pStyle w:val="BodyText"/>
            </w:pPr>
            <w:r w:rsidRPr="00EA79E1">
              <w:rPr>
                <w:rStyle w:val="SpecialBold"/>
              </w:rPr>
              <w:t>Relocate loads</w:t>
            </w: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t>Unsafe equipment is reported to appropriate personnel in accordance with workplace procedures</w:t>
            </w:r>
          </w:p>
        </w:tc>
      </w:tr>
      <w:tr w:rsidTr="00B82D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A79E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rPr>
                <w:rStyle w:val="SpecialBold"/>
              </w:rPr>
              <w:t>3.</w:t>
            </w:r>
            <w:r w:rsidRPr="00EA79E1">
              <w:rPr>
                <w:rStyle w:val="SpecialBold"/>
              </w:rPr>
              <w:t>2</w:t>
            </w: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t>Load is broken down, where applicable, to allow handling and moving a number of single items to ensure the maximum weight is not exceeded in accordance with manufacturer instructions</w:t>
            </w:r>
          </w:p>
        </w:tc>
      </w:tr>
      <w:tr w:rsidTr="00B82D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A79E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t>Mechanical aids and field machines are constructed, when required, by the approved shifting method, so the load can be shifted in accordance with job instructions</w:t>
            </w:r>
          </w:p>
        </w:tc>
      </w:tr>
      <w:tr w:rsidTr="00B82D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A79E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t>Safe working limits for lifting equipment are identified and maintained</w:t>
            </w:r>
          </w:p>
        </w:tc>
      </w:tr>
      <w:tr w:rsidTr="00B82D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A79E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rPr>
                <w:rStyle w:val="SpecialBold"/>
              </w:rPr>
              <w:t>3.5</w:t>
            </w: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t>Planned</w:t>
            </w:r>
            <w:r w:rsidRPr="00EA79E1">
              <w:t xml:space="preserve"> process and route are followed using equipment within necessary range of limitations</w:t>
            </w:r>
          </w:p>
        </w:tc>
      </w:tr>
      <w:tr w:rsidTr="00B82D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A79E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rPr>
                <w:rStyle w:val="SpecialBold"/>
              </w:rPr>
              <w:t>3.6</w:t>
            </w: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t>Relocated materials are set down without damage to goods, personnel or equipment and are checked for stability</w:t>
            </w:r>
          </w:p>
        </w:tc>
      </w:tr>
      <w:tr w:rsidTr="00B82D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A79E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rPr>
                <w:rStyle w:val="SpecialBold"/>
              </w:rPr>
              <w:t>3.7</w:t>
            </w: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t>Relocation is checked to ensure it meets work</w:t>
            </w:r>
            <w:r w:rsidRPr="00EA79E1">
              <w:t xml:space="preserve"> requirements and variances are reported to appropriate personnel</w:t>
            </w:r>
          </w:p>
        </w:tc>
      </w:tr>
      <w:tr w:rsidTr="00B82D4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A79E1" w:rsidP="00EA79E1">
            <w:pPr>
              <w:pStyle w:val="BodyText"/>
            </w:pPr>
            <w:r w:rsidRPr="00EA79E1">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RPr="00EA79E1" w:rsidP="00EA79E1">
            <w:pPr>
              <w:pStyle w:val="BodyText"/>
            </w:pPr>
            <w:r w:rsidRPr="00EA79E1">
              <w:rPr>
                <w:rStyle w:val="SpecialBold"/>
              </w:rPr>
              <w:t>Maintain equipment and worksite</w:t>
            </w: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t>Worksite is cleaned and cleared of debris and unwanted material</w:t>
            </w:r>
          </w:p>
        </w:tc>
      </w:tr>
      <w:tr w:rsidTr="00B82D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A79E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t>Field machines, tools and equipment are cleaned, inspected, maintained and stored in accordance with workplace procedures</w:t>
            </w:r>
          </w:p>
        </w:tc>
      </w:tr>
      <w:tr w:rsidTr="00B82D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A79E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EA79E1">
            <w:pPr>
              <w:pStyle w:val="BodyText"/>
              <w:rPr>
                <w:lang w:val="en-NZ"/>
              </w:rPr>
            </w:pPr>
            <w:r w:rsidRPr="00EA79E1">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RPr="00EA79E1" w:rsidP="00EA79E1">
            <w:pPr>
              <w:pStyle w:val="BodyText"/>
            </w:pPr>
            <w:r w:rsidRPr="00EA79E1">
              <w:t>Documentation is completed in accordance with workplace procedures</w:t>
            </w:r>
          </w:p>
        </w:tc>
      </w:tr>
    </w:tbl>
    <w:p w:rsidR="00B82D4E" w:rsidP="00EA79E1">
      <w:pPr>
        <w:pStyle w:val="NoPaddingFontSize1"/>
      </w:pPr>
    </w:p>
    <w:p w:rsidR="00B82D4E" w:rsidP="00EA79E1">
      <w:pPr>
        <w:pStyle w:val="NoPaddingFontSize1"/>
      </w:pPr>
    </w:p>
    <w:p w:rsidR="00000000" w:rsidRPr="00EA79E1" w:rsidP="00EA79E1">
      <w:pPr>
        <w:pStyle w:val="Heading1"/>
      </w:pPr>
      <w:bookmarkStart w:id="7" w:name="O_1192463"/>
      <w:bookmarkEnd w:id="7"/>
      <w:r w:rsidRPr="00EA79E1">
        <w:t>Foundation Skills</w:t>
      </w:r>
    </w:p>
    <w:tbl>
      <w:tblPr>
        <w:tblW w:w="9497" w:type="dxa"/>
        <w:tblLayout w:type="fixed"/>
        <w:tblCellMar>
          <w:left w:w="62" w:type="dxa"/>
          <w:right w:w="62" w:type="dxa"/>
        </w:tblCellMar>
        <w:tblLook w:val="0000"/>
      </w:tblPr>
      <w:tblGrid>
        <w:gridCol w:w="9497"/>
      </w:tblGrid>
      <w:tr w:rsidTr="00EA79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9E1" w:rsidP="00EA79E1">
            <w:pPr>
              <w:pStyle w:val="BodyText"/>
            </w:pPr>
            <w:r w:rsidRPr="00EA79E1">
              <w:t>Foundation skills essential to performance are explicit in the performance criteria of this unit of competency.</w:t>
            </w:r>
          </w:p>
        </w:tc>
      </w:tr>
    </w:tbl>
    <w:p w:rsidR="00B82D4E" w:rsidP="00EA79E1">
      <w:pPr>
        <w:pStyle w:val="NoPaddingFontSize1"/>
      </w:pPr>
    </w:p>
    <w:p w:rsidR="00B82D4E" w:rsidP="00EA79E1">
      <w:pPr>
        <w:pStyle w:val="NoPaddingFontSize1"/>
      </w:pPr>
    </w:p>
    <w:p w:rsidR="00000000" w:rsidRPr="00EA79E1" w:rsidP="00EA79E1">
      <w:pPr>
        <w:pStyle w:val="Heading1"/>
      </w:pPr>
      <w:bookmarkStart w:id="8" w:name="O_1192464"/>
      <w:bookmarkEnd w:id="8"/>
      <w:r w:rsidRPr="00EA79E1">
        <w:t>Range of Conditions</w:t>
      </w:r>
    </w:p>
    <w:tbl>
      <w:tblPr>
        <w:tblW w:w="9497" w:type="dxa"/>
        <w:tblLayout w:type="fixed"/>
        <w:tblCellMar>
          <w:left w:w="62" w:type="dxa"/>
          <w:right w:w="62" w:type="dxa"/>
        </w:tblCellMar>
        <w:tblLook w:val="0000"/>
      </w:tblPr>
      <w:tblGrid>
        <w:gridCol w:w="9497"/>
      </w:tblGrid>
      <w:tr w:rsidTr="00EA79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9E1" w:rsidP="00EA79E1">
            <w:pPr>
              <w:pStyle w:val="BodyText"/>
            </w:pPr>
            <w:r w:rsidRPr="00EA79E1">
              <w:t>Range is restricted to essential operating conditions and any other variables essential to the work en</w:t>
            </w:r>
            <w:r w:rsidRPr="00EA79E1">
              <w:t>vironment.</w:t>
            </w:r>
          </w:p>
          <w:p w:rsidR="00000000" w:rsidRPr="00EA79E1" w:rsidP="00EA79E1">
            <w:pPr>
              <w:pStyle w:val="BodyText"/>
            </w:pPr>
            <w:r w:rsidRPr="00EA79E1">
              <w:t>Non-essential conditions can be found in the TLI Transport and Logistics Training Package Companion Volume Implementation Guide.</w:t>
            </w:r>
          </w:p>
        </w:tc>
      </w:tr>
    </w:tbl>
    <w:p w:rsidR="00B82D4E" w:rsidP="00EA79E1">
      <w:pPr>
        <w:pStyle w:val="NoPaddingFontSize1"/>
      </w:pPr>
    </w:p>
    <w:p w:rsidR="00B82D4E" w:rsidP="00EA79E1">
      <w:pPr>
        <w:pStyle w:val="NoPaddingFontSize1"/>
      </w:pPr>
    </w:p>
    <w:p w:rsidR="00000000" w:rsidRPr="00EA79E1" w:rsidP="00EA79E1">
      <w:pPr>
        <w:pStyle w:val="Heading1"/>
      </w:pPr>
      <w:bookmarkStart w:id="9" w:name="O_1192465"/>
      <w:bookmarkEnd w:id="9"/>
      <w:r w:rsidRPr="00EA79E1">
        <w:t>Unit Mapping Information</w:t>
      </w:r>
    </w:p>
    <w:tbl>
      <w:tblPr>
        <w:tblW w:w="9497" w:type="dxa"/>
        <w:tblLayout w:type="fixed"/>
        <w:tblCellMar>
          <w:left w:w="62" w:type="dxa"/>
          <w:right w:w="62" w:type="dxa"/>
        </w:tblCellMar>
        <w:tblLook w:val="0000"/>
      </w:tblPr>
      <w:tblGrid>
        <w:gridCol w:w="9497"/>
      </w:tblGrid>
      <w:tr w:rsidTr="00EA79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9E1" w:rsidP="00EA79E1">
            <w:pPr>
              <w:pStyle w:val="BodyText"/>
            </w:pPr>
            <w:r w:rsidRPr="00EA79E1">
              <w:t>This unit replaces and is equivalent to TLID1002 Shift a load using manually-operated equipment.</w:t>
            </w:r>
          </w:p>
        </w:tc>
      </w:tr>
    </w:tbl>
    <w:p w:rsidR="00B82D4E" w:rsidP="00EA79E1">
      <w:pPr>
        <w:pStyle w:val="NoPaddingFontSize1"/>
      </w:pPr>
    </w:p>
    <w:p w:rsidR="00B82D4E" w:rsidP="00EA79E1">
      <w:pPr>
        <w:pStyle w:val="NoPaddingFontSize1"/>
      </w:pPr>
    </w:p>
    <w:p w:rsidR="00000000" w:rsidRPr="00EA79E1" w:rsidP="00EA79E1">
      <w:pPr>
        <w:pStyle w:val="Heading1"/>
      </w:pPr>
      <w:bookmarkStart w:id="10" w:name="O_1192472"/>
      <w:bookmarkEnd w:id="10"/>
      <w:r w:rsidRPr="00EA79E1">
        <w:t>Links</w:t>
      </w:r>
    </w:p>
    <w:p w:rsidR="00000000" w:rsidRPr="00EA79E1" w:rsidP="00B82D4E">
      <w:pPr>
        <w:pStyle w:val="BodyText"/>
      </w:pPr>
      <w:r w:rsidRPr="00EA79E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E7EA2">
        <w:rPr>
          <w:rStyle w:val="Hyperlink"/>
        </w:rPr>
        <w:t>https://vetnet.gov.au/Pages/TrainingDocs.aspx?q=df441c6e-213d-43e3-874c-0b3f7036d851</w:t>
      </w:r>
      <w:r>
        <w:fldChar w:fldCharType="end"/>
      </w:r>
    </w:p>
    <w:p w:rsidR="00000000" w:rsidRPr="00EA79E1" w:rsidP="00EA79E1"/>
    <w:sectPr w:rsidSect="00EA79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9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9E1" w:rsidRPr="00B82D4E" w:rsidP="00B82D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9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D4E" w:rsidP="00EA79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2D4E" w:rsidP="00EA79E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82D4E" w:rsidP="00EA79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9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D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79E1" w:rsidRPr="00B82D4E" w:rsidP="00B82D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9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D4E" w:rsidRPr="002D2AF8" w:rsidP="00EA79E1">
    <w:pPr>
      <w:pStyle w:val="Header"/>
      <w:framePr w:wrap="around"/>
    </w:pPr>
    <w:r>
      <w:fldChar w:fldCharType="begin"/>
    </w:r>
    <w:r>
      <w:instrText xml:space="preserve"> TITLE   \* MERGEFORMAT </w:instrText>
    </w:r>
    <w:r>
      <w:fldChar w:fldCharType="separate"/>
    </w:r>
    <w:r>
      <w:t>TLID0019 Shift loads using manually-operated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B82D4E" w:rsidP="00EA79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9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79E1"/>
    <w:pPr>
      <w:spacing w:before="360" w:after="60"/>
      <w:outlineLvl w:val="0"/>
    </w:pPr>
    <w:rPr>
      <w:sz w:val="32"/>
    </w:rPr>
  </w:style>
  <w:style w:type="paragraph" w:styleId="Heading2">
    <w:name w:val="heading 2"/>
    <w:basedOn w:val="HeadingBase"/>
    <w:next w:val="BodyText"/>
    <w:link w:val="Heading2Char"/>
    <w:qFormat/>
    <w:rsid w:val="00EA79E1"/>
    <w:pPr>
      <w:keepLines/>
      <w:spacing w:before="240" w:after="120"/>
      <w:outlineLvl w:val="1"/>
    </w:pPr>
    <w:rPr>
      <w:sz w:val="28"/>
      <w:szCs w:val="40"/>
    </w:rPr>
  </w:style>
  <w:style w:type="paragraph" w:styleId="Heading3">
    <w:name w:val="heading 3"/>
    <w:basedOn w:val="HeadingBase"/>
    <w:next w:val="BodyText"/>
    <w:link w:val="Heading3Char"/>
    <w:qFormat/>
    <w:rsid w:val="00EA79E1"/>
    <w:pPr>
      <w:spacing w:before="180" w:after="120"/>
      <w:outlineLvl w:val="2"/>
    </w:pPr>
    <w:rPr>
      <w:spacing w:val="-10"/>
      <w:kern w:val="32"/>
    </w:rPr>
  </w:style>
  <w:style w:type="paragraph" w:styleId="Heading4">
    <w:name w:val="heading 4"/>
    <w:basedOn w:val="HeadingBase"/>
    <w:next w:val="BodyText"/>
    <w:link w:val="Heading4Char"/>
    <w:qFormat/>
    <w:rsid w:val="00EA79E1"/>
    <w:pPr>
      <w:spacing w:before="160" w:after="120"/>
      <w:outlineLvl w:val="3"/>
    </w:pPr>
    <w:rPr>
      <w:sz w:val="22"/>
    </w:rPr>
  </w:style>
  <w:style w:type="paragraph" w:styleId="Heading5">
    <w:name w:val="heading 5"/>
    <w:basedOn w:val="HeadingBase"/>
    <w:next w:val="Normal"/>
    <w:link w:val="Heading5Char"/>
    <w:qFormat/>
    <w:rsid w:val="00EA79E1"/>
    <w:pPr>
      <w:spacing w:before="80"/>
      <w:outlineLvl w:val="4"/>
    </w:pPr>
    <w:rPr>
      <w:color w:val="918585"/>
      <w:sz w:val="20"/>
    </w:rPr>
  </w:style>
  <w:style w:type="paragraph" w:styleId="Heading6">
    <w:name w:val="heading 6"/>
    <w:basedOn w:val="HeadingBase"/>
    <w:next w:val="Normal"/>
    <w:link w:val="Heading6Char"/>
    <w:qFormat/>
    <w:rsid w:val="00EA79E1"/>
    <w:pPr>
      <w:spacing w:before="60"/>
      <w:outlineLvl w:val="5"/>
    </w:pPr>
    <w:rPr>
      <w:color w:val="918585"/>
      <w:sz w:val="20"/>
    </w:rPr>
  </w:style>
  <w:style w:type="paragraph" w:styleId="Heading7">
    <w:name w:val="heading 7"/>
    <w:basedOn w:val="Normal"/>
    <w:next w:val="Normal"/>
    <w:link w:val="Heading7Char"/>
    <w:qFormat/>
    <w:rsid w:val="00EA79E1"/>
    <w:pPr>
      <w:ind w:left="720"/>
      <w:outlineLvl w:val="6"/>
    </w:pPr>
    <w:rPr>
      <w:i/>
    </w:rPr>
  </w:style>
  <w:style w:type="paragraph" w:styleId="Heading8">
    <w:name w:val="heading 8"/>
    <w:basedOn w:val="Normal"/>
    <w:next w:val="Normal"/>
    <w:link w:val="Heading8Char"/>
    <w:qFormat/>
    <w:rsid w:val="00EA79E1"/>
    <w:pPr>
      <w:ind w:left="720"/>
      <w:outlineLvl w:val="7"/>
    </w:pPr>
    <w:rPr>
      <w:i/>
    </w:rPr>
  </w:style>
  <w:style w:type="paragraph" w:styleId="Heading9">
    <w:name w:val="heading 9"/>
    <w:basedOn w:val="Normal"/>
    <w:next w:val="Normal"/>
    <w:link w:val="Heading9Char"/>
    <w:qFormat/>
    <w:rsid w:val="00EA79E1"/>
    <w:pPr>
      <w:ind w:left="720"/>
      <w:outlineLvl w:val="8"/>
    </w:pPr>
    <w:rPr>
      <w:i/>
    </w:rPr>
  </w:style>
  <w:style w:type="character" w:default="1" w:styleId="DefaultParagraphFont">
    <w:name w:val="Default Paragraph Font"/>
    <w:uiPriority w:val="1"/>
    <w:unhideWhenUsed/>
    <w:rsid w:val="00EA79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79E1"/>
  </w:style>
  <w:style w:type="character" w:customStyle="1" w:styleId="Heading1Char">
    <w:name w:val="Heading 1 Char"/>
    <w:basedOn w:val="DefaultParagraphFont"/>
    <w:link w:val="Heading1"/>
    <w:rsid w:val="00EA79E1"/>
    <w:rPr>
      <w:rFonts w:ascii="Times New Roman" w:eastAsia="Times New Roman" w:hAnsi="Times New Roman" w:cs="Times New Roman"/>
      <w:b/>
      <w:sz w:val="32"/>
      <w:szCs w:val="20"/>
      <w:lang w:eastAsia="en-US"/>
    </w:rPr>
  </w:style>
  <w:style w:type="paragraph" w:styleId="BodyText">
    <w:name w:val="Body Text"/>
    <w:basedOn w:val="Normal"/>
    <w:link w:val="BodyTextChar"/>
    <w:rsid w:val="00EA79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79E1"/>
    <w:rPr>
      <w:rFonts w:ascii="Times New Roman" w:eastAsia="Times New Roman" w:hAnsi="Times New Roman" w:cs="Times New Roman"/>
      <w:sz w:val="24"/>
      <w:lang w:eastAsia="en-US"/>
    </w:rPr>
  </w:style>
  <w:style w:type="character" w:customStyle="1" w:styleId="SpecialBold">
    <w:name w:val="Special Bold"/>
    <w:basedOn w:val="DefaultParagraphFont"/>
    <w:rsid w:val="00EA79E1"/>
    <w:rPr>
      <w:b/>
      <w:spacing w:val="0"/>
    </w:rPr>
  </w:style>
  <w:style w:type="paragraph" w:customStyle="1" w:styleId="SuperHeading">
    <w:name w:val="SuperHeading"/>
    <w:basedOn w:val="Normal"/>
    <w:rsid w:val="00EA79E1"/>
    <w:pPr>
      <w:spacing w:before="240" w:after="120"/>
      <w:outlineLvl w:val="0"/>
    </w:pPr>
    <w:rPr>
      <w:rFonts w:ascii="Times New Roman" w:hAnsi="Times New Roman"/>
      <w:b/>
      <w:sz w:val="32"/>
    </w:rPr>
  </w:style>
  <w:style w:type="paragraph" w:customStyle="1" w:styleId="AllowPageBreak">
    <w:name w:val="AllowPageBreak"/>
    <w:rsid w:val="00EA79E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A79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79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79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79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79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79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79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79E1"/>
    <w:rPr>
      <w:rFonts w:ascii="Courier New" w:eastAsia="Times New Roman" w:hAnsi="Courier New" w:cs="Times New Roman"/>
      <w:i/>
      <w:szCs w:val="20"/>
      <w:lang w:eastAsia="en-US"/>
    </w:rPr>
  </w:style>
  <w:style w:type="paragraph" w:customStyle="1" w:styleId="HeadingBase">
    <w:name w:val="Heading Base"/>
    <w:rsid w:val="00EA79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79E1"/>
    <w:pPr>
      <w:tabs>
        <w:tab w:val="right" w:leader="dot" w:pos="9072"/>
      </w:tabs>
      <w:ind w:left="567"/>
    </w:pPr>
    <w:rPr>
      <w:szCs w:val="22"/>
    </w:rPr>
  </w:style>
  <w:style w:type="paragraph" w:customStyle="1" w:styleId="TOCBase">
    <w:name w:val="TOC Base"/>
    <w:rsid w:val="00EA79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79E1"/>
    <w:pPr>
      <w:tabs>
        <w:tab w:val="right" w:leader="dot" w:pos="9072"/>
      </w:tabs>
      <w:spacing w:before="40" w:after="40"/>
      <w:ind w:left="284"/>
    </w:pPr>
    <w:rPr>
      <w:rFonts w:ascii="Times New Roman" w:hAnsi="Times New Roman"/>
    </w:rPr>
  </w:style>
  <w:style w:type="paragraph" w:styleId="TOC1">
    <w:name w:val="toc 1"/>
    <w:basedOn w:val="TOCBase"/>
    <w:next w:val="Normal"/>
    <w:rsid w:val="00EA79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79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79E1"/>
    <w:rPr>
      <w:rFonts w:ascii="Times New Roman" w:eastAsia="Times New Roman" w:hAnsi="Times New Roman" w:cs="Times New Roman"/>
      <w:sz w:val="16"/>
      <w:lang w:eastAsia="en-US"/>
    </w:rPr>
  </w:style>
  <w:style w:type="paragraph" w:styleId="Title">
    <w:name w:val="Title"/>
    <w:basedOn w:val="HeadingBase"/>
    <w:link w:val="TitleChar"/>
    <w:qFormat/>
    <w:rsid w:val="00EA79E1"/>
    <w:pPr>
      <w:spacing w:before="5040"/>
      <w:jc w:val="center"/>
    </w:pPr>
    <w:rPr>
      <w:sz w:val="48"/>
      <w:szCs w:val="72"/>
      <w:lang w:val="en-US"/>
    </w:rPr>
  </w:style>
  <w:style w:type="character" w:customStyle="1" w:styleId="TitleChar">
    <w:name w:val="Title Char"/>
    <w:basedOn w:val="DefaultParagraphFont"/>
    <w:link w:val="Title"/>
    <w:rsid w:val="00EA79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79E1"/>
    <w:pPr>
      <w:tabs>
        <w:tab w:val="left" w:pos="3600"/>
        <w:tab w:val="left" w:pos="3958"/>
      </w:tabs>
    </w:pPr>
  </w:style>
  <w:style w:type="paragraph" w:styleId="List">
    <w:name w:val="List"/>
    <w:basedOn w:val="BodyText"/>
    <w:next w:val="BodyText"/>
    <w:rsid w:val="00EA79E1"/>
    <w:pPr>
      <w:tabs>
        <w:tab w:val="left" w:pos="340"/>
      </w:tabs>
      <w:spacing w:before="60" w:after="60"/>
      <w:ind w:left="340" w:hanging="340"/>
    </w:pPr>
  </w:style>
  <w:style w:type="paragraph" w:styleId="ListBullet">
    <w:name w:val="List Bullet"/>
    <w:basedOn w:val="List"/>
    <w:rsid w:val="00EA79E1"/>
    <w:pPr>
      <w:numPr>
        <w:numId w:val="10"/>
      </w:numPr>
      <w:tabs>
        <w:tab w:val="clear" w:pos="340"/>
      </w:tabs>
      <w:spacing w:before="40" w:after="40"/>
    </w:pPr>
  </w:style>
  <w:style w:type="paragraph" w:customStyle="1" w:styleId="Note">
    <w:name w:val="Note"/>
    <w:basedOn w:val="BodyText"/>
    <w:rsid w:val="00EA79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79E1"/>
    <w:pPr>
      <w:framePr w:wrap="auto" w:hAnchor="text" w:y="6049"/>
    </w:pPr>
    <w:rPr>
      <w:color w:val="000000"/>
      <w:sz w:val="40"/>
    </w:rPr>
  </w:style>
  <w:style w:type="paragraph" w:customStyle="1" w:styleId="TOCTitle">
    <w:name w:val="TOCTitle"/>
    <w:basedOn w:val="Heading1"/>
    <w:rsid w:val="00EA79E1"/>
    <w:pPr>
      <w:spacing w:after="240"/>
      <w:jc w:val="center"/>
      <w:outlineLvl w:val="9"/>
    </w:pPr>
    <w:rPr>
      <w:caps/>
    </w:rPr>
  </w:style>
  <w:style w:type="paragraph" w:customStyle="1" w:styleId="Version">
    <w:name w:val="Version"/>
    <w:rsid w:val="00EA79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79E1"/>
    <w:pPr>
      <w:numPr>
        <w:numId w:val="11"/>
      </w:numPr>
      <w:tabs>
        <w:tab w:val="clear" w:pos="680"/>
      </w:tabs>
    </w:pPr>
  </w:style>
  <w:style w:type="paragraph" w:styleId="Index1">
    <w:name w:val="index 1"/>
    <w:basedOn w:val="Normal"/>
    <w:next w:val="Normal"/>
    <w:semiHidden/>
    <w:rsid w:val="00EA79E1"/>
    <w:pPr>
      <w:keepNext w:val="0"/>
      <w:tabs>
        <w:tab w:val="right" w:pos="4176"/>
      </w:tabs>
      <w:ind w:left="198" w:hanging="198"/>
    </w:pPr>
    <w:rPr>
      <w:rFonts w:ascii="Garamond" w:hAnsi="Garamond"/>
    </w:rPr>
  </w:style>
  <w:style w:type="paragraph" w:styleId="IndexHeading">
    <w:name w:val="index heading"/>
    <w:basedOn w:val="Normal"/>
    <w:next w:val="Index1"/>
    <w:semiHidden/>
    <w:rsid w:val="00EA79E1"/>
    <w:pPr>
      <w:spacing w:before="120" w:after="120"/>
    </w:pPr>
    <w:rPr>
      <w:rFonts w:ascii="Arial" w:hAnsi="Arial"/>
      <w:b/>
      <w:color w:val="918585"/>
      <w:sz w:val="24"/>
    </w:rPr>
  </w:style>
  <w:style w:type="paragraph" w:styleId="Header">
    <w:name w:val="header"/>
    <w:basedOn w:val="Normal"/>
    <w:link w:val="HeaderChar"/>
    <w:rsid w:val="00EA79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79E1"/>
    <w:rPr>
      <w:rFonts w:ascii="Times New Roman" w:eastAsia="Times New Roman" w:hAnsi="Times New Roman" w:cs="Times New Roman"/>
      <w:sz w:val="16"/>
      <w:szCs w:val="20"/>
      <w:lang w:val="en-GB" w:eastAsia="en-US"/>
    </w:rPr>
  </w:style>
  <w:style w:type="paragraph" w:customStyle="1" w:styleId="Chapter">
    <w:name w:val="Chapter"/>
    <w:basedOn w:val="Normal"/>
    <w:rsid w:val="00EA79E1"/>
    <w:pPr>
      <w:spacing w:before="240"/>
    </w:pPr>
    <w:rPr>
      <w:rFonts w:ascii="Times New Roman" w:hAnsi="Times New Roman"/>
      <w:smallCaps/>
      <w:spacing w:val="80"/>
      <w:sz w:val="28"/>
    </w:rPr>
  </w:style>
  <w:style w:type="paragraph" w:customStyle="1" w:styleId="InChapter">
    <w:name w:val="InChapter"/>
    <w:basedOn w:val="Heading3"/>
    <w:rsid w:val="00EA79E1"/>
    <w:pPr>
      <w:spacing w:after="240"/>
      <w:outlineLvl w:val="9"/>
    </w:pPr>
    <w:rPr>
      <w:noProof/>
    </w:rPr>
  </w:style>
  <w:style w:type="paragraph" w:styleId="Index2">
    <w:name w:val="index 2"/>
    <w:basedOn w:val="Normal"/>
    <w:next w:val="Normal"/>
    <w:semiHidden/>
    <w:rsid w:val="00EA79E1"/>
    <w:pPr>
      <w:tabs>
        <w:tab w:val="right" w:pos="4176"/>
      </w:tabs>
      <w:ind w:left="568" w:hanging="284"/>
    </w:pPr>
    <w:rPr>
      <w:rFonts w:ascii="Garamond" w:hAnsi="Garamond"/>
    </w:rPr>
  </w:style>
  <w:style w:type="paragraph" w:customStyle="1" w:styleId="Byline">
    <w:name w:val="Byline"/>
    <w:rsid w:val="00EA79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79E1"/>
    <w:pPr>
      <w:tabs>
        <w:tab w:val="clear" w:pos="3600"/>
        <w:tab w:val="clear" w:pos="3958"/>
      </w:tabs>
      <w:jc w:val="right"/>
    </w:pPr>
  </w:style>
  <w:style w:type="character" w:styleId="Emphasis">
    <w:name w:val="Emphasis"/>
    <w:basedOn w:val="DefaultParagraphFont"/>
    <w:qFormat/>
    <w:rsid w:val="00EA79E1"/>
    <w:rPr>
      <w:i/>
    </w:rPr>
  </w:style>
  <w:style w:type="paragraph" w:styleId="Caption">
    <w:name w:val="caption"/>
    <w:basedOn w:val="BodyText"/>
    <w:next w:val="Normal"/>
    <w:qFormat/>
    <w:rsid w:val="00EA79E1"/>
    <w:pPr>
      <w:framePr w:w="2268" w:hSpace="181" w:vSpace="181" w:wrap="around" w:vAnchor="text" w:hAnchor="page" w:x="1135" w:y="285" w:anchorLock="1"/>
    </w:pPr>
    <w:rPr>
      <w:i/>
    </w:rPr>
  </w:style>
  <w:style w:type="paragraph" w:customStyle="1" w:styleId="MiniTOCTitle">
    <w:name w:val="MiniTOCTitle"/>
    <w:basedOn w:val="Heading4"/>
    <w:rsid w:val="00EA79E1"/>
    <w:pPr>
      <w:spacing w:before="240"/>
      <w:outlineLvl w:val="9"/>
    </w:pPr>
    <w:rPr>
      <w:noProof/>
      <w:sz w:val="24"/>
    </w:rPr>
  </w:style>
  <w:style w:type="paragraph" w:customStyle="1" w:styleId="MiniTOCItem">
    <w:name w:val="MiniTOCItem"/>
    <w:basedOn w:val="ListBullet"/>
    <w:rsid w:val="00EA79E1"/>
    <w:pPr>
      <w:numPr>
        <w:numId w:val="0"/>
      </w:numPr>
      <w:tabs>
        <w:tab w:val="right" w:leader="dot" w:pos="6521"/>
      </w:tabs>
      <w:spacing w:before="0" w:after="0"/>
    </w:pPr>
  </w:style>
  <w:style w:type="paragraph" w:customStyle="1" w:styleId="TOFTitle">
    <w:name w:val="TOFTitle"/>
    <w:basedOn w:val="TOCTitle"/>
    <w:rsid w:val="00EA79E1"/>
  </w:style>
  <w:style w:type="paragraph" w:styleId="TableofFigures">
    <w:name w:val="table of figures"/>
    <w:basedOn w:val="Normal"/>
    <w:next w:val="Normal"/>
    <w:semiHidden/>
    <w:rsid w:val="00EA79E1"/>
    <w:pPr>
      <w:tabs>
        <w:tab w:val="right" w:leader="dot" w:pos="9072"/>
      </w:tabs>
      <w:ind w:left="970" w:hanging="403"/>
    </w:pPr>
    <w:rPr>
      <w:rFonts w:ascii="Times New Roman" w:hAnsi="Times New Roman"/>
      <w:b/>
    </w:rPr>
  </w:style>
  <w:style w:type="paragraph" w:styleId="ListNumber">
    <w:name w:val="List Number"/>
    <w:basedOn w:val="List"/>
    <w:rsid w:val="00EA79E1"/>
    <w:pPr>
      <w:numPr>
        <w:numId w:val="13"/>
      </w:numPr>
      <w:tabs>
        <w:tab w:val="clear" w:pos="340"/>
      </w:tabs>
    </w:pPr>
  </w:style>
  <w:style w:type="character" w:customStyle="1" w:styleId="WingdingSymbols">
    <w:name w:val="Wingding Symbols"/>
    <w:rsid w:val="00EA79E1"/>
    <w:rPr>
      <w:rFonts w:ascii="Wingdings" w:hAnsi="Wingdings"/>
    </w:rPr>
  </w:style>
  <w:style w:type="paragraph" w:customStyle="1" w:styleId="TableHeading">
    <w:name w:val="Table Heading"/>
    <w:basedOn w:val="HeadingBase"/>
    <w:rsid w:val="00EA79E1"/>
    <w:pPr>
      <w:keepLines/>
      <w:pBdr>
        <w:bottom w:val="single" w:sz="6" w:space="1" w:color="918585"/>
      </w:pBdr>
      <w:spacing w:before="240"/>
    </w:pPr>
  </w:style>
  <w:style w:type="character" w:customStyle="1" w:styleId="HotSpot">
    <w:name w:val="HotSpot"/>
    <w:rsid w:val="00EA79E1"/>
    <w:rPr>
      <w:color w:val="0033CC"/>
      <w:u w:val="none"/>
    </w:rPr>
  </w:style>
  <w:style w:type="paragraph" w:customStyle="1" w:styleId="BodyTextRight">
    <w:name w:val="Body Text Right"/>
    <w:basedOn w:val="BodyText"/>
    <w:rsid w:val="00EA79E1"/>
    <w:pPr>
      <w:spacing w:before="0" w:after="0"/>
      <w:jc w:val="right"/>
    </w:pPr>
  </w:style>
  <w:style w:type="paragraph" w:styleId="Index3">
    <w:name w:val="index 3"/>
    <w:basedOn w:val="ListNumber2"/>
    <w:next w:val="Normal"/>
    <w:semiHidden/>
    <w:rsid w:val="00EA79E1"/>
    <w:pPr>
      <w:numPr>
        <w:numId w:val="0"/>
      </w:numPr>
      <w:tabs>
        <w:tab w:val="right" w:leader="dot" w:pos="4176"/>
      </w:tabs>
    </w:pPr>
  </w:style>
  <w:style w:type="paragraph" w:styleId="ListNumber2">
    <w:name w:val="List Number 2"/>
    <w:basedOn w:val="List2"/>
    <w:rsid w:val="00EA79E1"/>
    <w:pPr>
      <w:numPr>
        <w:numId w:val="8"/>
      </w:numPr>
      <w:tabs>
        <w:tab w:val="clear" w:pos="1060"/>
      </w:tabs>
    </w:pPr>
  </w:style>
  <w:style w:type="paragraph" w:customStyle="1" w:styleId="MarginNote">
    <w:name w:val="Margin Note"/>
    <w:basedOn w:val="BodyText"/>
    <w:rsid w:val="00EA79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79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79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79E1"/>
    <w:rPr>
      <w:sz w:val="32"/>
    </w:rPr>
  </w:style>
  <w:style w:type="paragraph" w:customStyle="1" w:styleId="HeadingProcedure">
    <w:name w:val="Heading Procedure"/>
    <w:basedOn w:val="HeadingBase"/>
    <w:next w:val="Normal"/>
    <w:rsid w:val="00EA79E1"/>
    <w:pPr>
      <w:tabs>
        <w:tab w:val="left" w:pos="0"/>
      </w:tabs>
      <w:spacing w:before="120" w:after="60"/>
    </w:pPr>
    <w:rPr>
      <w:i/>
      <w:color w:val="918585"/>
      <w:sz w:val="22"/>
    </w:rPr>
  </w:style>
  <w:style w:type="paragraph" w:customStyle="1" w:styleId="TableBodyText">
    <w:name w:val="Table Body Text"/>
    <w:basedOn w:val="BodyText"/>
    <w:rsid w:val="00EA79E1"/>
    <w:pPr>
      <w:spacing w:before="60" w:after="60"/>
    </w:pPr>
  </w:style>
  <w:style w:type="paragraph" w:styleId="ListContinue">
    <w:name w:val="List Continue"/>
    <w:basedOn w:val="List"/>
    <w:rsid w:val="00EA79E1"/>
    <w:pPr>
      <w:ind w:firstLine="0"/>
    </w:pPr>
  </w:style>
  <w:style w:type="paragraph" w:customStyle="1" w:styleId="ListNote">
    <w:name w:val="List Note"/>
    <w:basedOn w:val="List"/>
    <w:rsid w:val="00EA79E1"/>
    <w:pPr>
      <w:pBdr>
        <w:top w:val="single" w:sz="6" w:space="2" w:color="918585"/>
        <w:bottom w:val="single" w:sz="6" w:space="2" w:color="918585"/>
      </w:pBdr>
      <w:tabs>
        <w:tab w:val="left" w:pos="1021"/>
      </w:tabs>
      <w:ind w:firstLine="0"/>
    </w:pPr>
  </w:style>
  <w:style w:type="paragraph" w:customStyle="1" w:styleId="Warning">
    <w:name w:val="Warning"/>
    <w:basedOn w:val="BodyText"/>
    <w:rsid w:val="00EA79E1"/>
    <w:pPr>
      <w:shd w:val="clear" w:color="auto" w:fill="D9D9D9"/>
      <w:tabs>
        <w:tab w:val="left" w:pos="992"/>
      </w:tabs>
      <w:ind w:left="119" w:right="119"/>
    </w:pPr>
    <w:rPr>
      <w:sz w:val="20"/>
    </w:rPr>
  </w:style>
  <w:style w:type="paragraph" w:customStyle="1" w:styleId="MarginIcons">
    <w:name w:val="Margin Icons"/>
    <w:basedOn w:val="BodyText"/>
    <w:rsid w:val="00EA79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79E1"/>
    <w:rPr>
      <w:rFonts w:ascii="Courier New" w:hAnsi="Courier New"/>
    </w:rPr>
  </w:style>
  <w:style w:type="paragraph" w:customStyle="1" w:styleId="NoteBullet">
    <w:name w:val="Note Bullet"/>
    <w:basedOn w:val="Note"/>
    <w:rsid w:val="00EA79E1"/>
    <w:pPr>
      <w:tabs>
        <w:tab w:val="clear" w:pos="680"/>
      </w:tabs>
      <w:spacing w:before="60" w:after="60"/>
    </w:pPr>
  </w:style>
  <w:style w:type="paragraph" w:customStyle="1" w:styleId="SubHeading2">
    <w:name w:val="SubHeading2"/>
    <w:basedOn w:val="HeadingBase"/>
    <w:rsid w:val="00EA79E1"/>
    <w:pPr>
      <w:spacing w:before="240" w:after="60"/>
    </w:pPr>
    <w:rPr>
      <w:sz w:val="20"/>
    </w:rPr>
  </w:style>
  <w:style w:type="paragraph" w:customStyle="1" w:styleId="SubHeading1">
    <w:name w:val="SubHeading1"/>
    <w:basedOn w:val="HeadingBase"/>
    <w:rsid w:val="00EA79E1"/>
    <w:pPr>
      <w:spacing w:before="240" w:after="60"/>
    </w:pPr>
    <w:rPr>
      <w:color w:val="918585"/>
      <w:sz w:val="22"/>
    </w:rPr>
  </w:style>
  <w:style w:type="paragraph" w:customStyle="1" w:styleId="SideHeading">
    <w:name w:val="Side Heading"/>
    <w:basedOn w:val="HeadingBase"/>
    <w:rsid w:val="00EA79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79E1"/>
    <w:pPr>
      <w:numPr>
        <w:numId w:val="9"/>
      </w:numPr>
    </w:pPr>
  </w:style>
  <w:style w:type="paragraph" w:styleId="PlainText">
    <w:name w:val="Plain Text"/>
    <w:basedOn w:val="Normal"/>
    <w:link w:val="PlainTextChar"/>
    <w:rsid w:val="00EA79E1"/>
    <w:rPr>
      <w:sz w:val="20"/>
    </w:rPr>
  </w:style>
  <w:style w:type="character" w:customStyle="1" w:styleId="PlainTextChar">
    <w:name w:val="Plain Text Char"/>
    <w:basedOn w:val="DefaultParagraphFont"/>
    <w:link w:val="PlainText"/>
    <w:rsid w:val="00EA79E1"/>
    <w:rPr>
      <w:rFonts w:ascii="Courier New" w:eastAsia="Times New Roman" w:hAnsi="Courier New" w:cs="Times New Roman"/>
      <w:sz w:val="20"/>
      <w:szCs w:val="20"/>
      <w:lang w:eastAsia="en-US"/>
    </w:rPr>
  </w:style>
  <w:style w:type="character" w:customStyle="1" w:styleId="MenuOption">
    <w:name w:val="Menu Option"/>
    <w:basedOn w:val="DefaultParagraphFont"/>
    <w:rsid w:val="00EA79E1"/>
    <w:rPr>
      <w:b/>
      <w:smallCaps/>
    </w:rPr>
  </w:style>
  <w:style w:type="paragraph" w:customStyle="1" w:styleId="TableListNumber">
    <w:name w:val="Table List Number"/>
    <w:basedOn w:val="ListNumber"/>
    <w:rsid w:val="00EA79E1"/>
    <w:pPr>
      <w:numPr>
        <w:numId w:val="0"/>
      </w:numPr>
    </w:pPr>
  </w:style>
  <w:style w:type="paragraph" w:styleId="TOC4">
    <w:name w:val="toc 4"/>
    <w:basedOn w:val="TOCBase"/>
    <w:next w:val="Normal"/>
    <w:semiHidden/>
    <w:rsid w:val="00EA79E1"/>
    <w:pPr>
      <w:tabs>
        <w:tab w:val="right" w:leader="dot" w:pos="9071"/>
      </w:tabs>
      <w:ind w:left="1701"/>
    </w:pPr>
  </w:style>
  <w:style w:type="paragraph" w:customStyle="1" w:styleId="ListAlpha">
    <w:name w:val="List Alpha"/>
    <w:basedOn w:val="List"/>
    <w:rsid w:val="00EA79E1"/>
    <w:pPr>
      <w:numPr>
        <w:numId w:val="7"/>
      </w:numPr>
    </w:pPr>
  </w:style>
  <w:style w:type="paragraph" w:customStyle="1" w:styleId="ListAlpha2">
    <w:name w:val="List Alpha 2"/>
    <w:basedOn w:val="List2"/>
    <w:rsid w:val="00EA79E1"/>
    <w:pPr>
      <w:numPr>
        <w:numId w:val="6"/>
      </w:numPr>
    </w:pPr>
  </w:style>
  <w:style w:type="paragraph" w:styleId="List2">
    <w:name w:val="List 2"/>
    <w:basedOn w:val="BodyText"/>
    <w:rsid w:val="00EA79E1"/>
    <w:pPr>
      <w:tabs>
        <w:tab w:val="left" w:pos="680"/>
      </w:tabs>
      <w:spacing w:before="60" w:after="60"/>
      <w:ind w:left="680" w:hanging="340"/>
    </w:pPr>
  </w:style>
  <w:style w:type="paragraph" w:styleId="List3">
    <w:name w:val="List 3"/>
    <w:basedOn w:val="BodyText"/>
    <w:rsid w:val="00EA79E1"/>
    <w:pPr>
      <w:tabs>
        <w:tab w:val="left" w:pos="1021"/>
      </w:tabs>
      <w:spacing w:before="60" w:after="60"/>
      <w:ind w:left="1020" w:hanging="340"/>
    </w:pPr>
  </w:style>
  <w:style w:type="paragraph" w:styleId="List4">
    <w:name w:val="List 4"/>
    <w:basedOn w:val="BodyText"/>
    <w:rsid w:val="00EA79E1"/>
    <w:pPr>
      <w:tabs>
        <w:tab w:val="left" w:pos="1361"/>
      </w:tabs>
      <w:spacing w:before="60" w:after="60"/>
      <w:ind w:left="1361" w:hanging="340"/>
    </w:pPr>
  </w:style>
  <w:style w:type="paragraph" w:styleId="List5">
    <w:name w:val="List 5"/>
    <w:basedOn w:val="BodyText"/>
    <w:rsid w:val="00EA79E1"/>
    <w:pPr>
      <w:tabs>
        <w:tab w:val="left" w:pos="1701"/>
      </w:tabs>
      <w:spacing w:before="60" w:after="60"/>
      <w:ind w:left="1701" w:hanging="340"/>
    </w:pPr>
  </w:style>
  <w:style w:type="paragraph" w:styleId="ListBullet3">
    <w:name w:val="List Bullet 3"/>
    <w:basedOn w:val="List3"/>
    <w:rsid w:val="00EA79E1"/>
    <w:pPr>
      <w:numPr>
        <w:numId w:val="12"/>
      </w:numPr>
      <w:tabs>
        <w:tab w:val="clear" w:pos="1021"/>
      </w:tabs>
      <w:ind w:left="1037" w:hanging="357"/>
    </w:pPr>
  </w:style>
  <w:style w:type="paragraph" w:styleId="ListBullet4">
    <w:name w:val="List Bullet 4"/>
    <w:basedOn w:val="List4"/>
    <w:rsid w:val="00EA79E1"/>
    <w:pPr>
      <w:numPr>
        <w:numId w:val="1"/>
      </w:numPr>
      <w:tabs>
        <w:tab w:val="clear" w:pos="1361"/>
      </w:tabs>
    </w:pPr>
  </w:style>
  <w:style w:type="paragraph" w:styleId="ListBullet5">
    <w:name w:val="List Bullet 5"/>
    <w:basedOn w:val="List5"/>
    <w:rsid w:val="00EA79E1"/>
    <w:pPr>
      <w:numPr>
        <w:numId w:val="2"/>
      </w:numPr>
    </w:pPr>
  </w:style>
  <w:style w:type="paragraph" w:styleId="ListContinue2">
    <w:name w:val="List Continue 2"/>
    <w:basedOn w:val="List2"/>
    <w:rsid w:val="00EA79E1"/>
    <w:pPr>
      <w:ind w:firstLine="0"/>
    </w:pPr>
  </w:style>
  <w:style w:type="paragraph" w:styleId="ListContinue3">
    <w:name w:val="List Continue 3"/>
    <w:basedOn w:val="List3"/>
    <w:rsid w:val="00EA79E1"/>
    <w:pPr>
      <w:ind w:left="1021" w:firstLine="0"/>
    </w:pPr>
  </w:style>
  <w:style w:type="paragraph" w:styleId="ListContinue4">
    <w:name w:val="List Continue 4"/>
    <w:basedOn w:val="List4"/>
    <w:rsid w:val="00EA79E1"/>
    <w:pPr>
      <w:ind w:firstLine="0"/>
    </w:pPr>
  </w:style>
  <w:style w:type="paragraph" w:styleId="ListContinue5">
    <w:name w:val="List Continue 5"/>
    <w:basedOn w:val="List5"/>
    <w:rsid w:val="00EA79E1"/>
    <w:pPr>
      <w:ind w:firstLine="0"/>
    </w:pPr>
  </w:style>
  <w:style w:type="paragraph" w:styleId="ListNumber3">
    <w:name w:val="List Number 3"/>
    <w:basedOn w:val="List3"/>
    <w:rsid w:val="00EA79E1"/>
    <w:pPr>
      <w:numPr>
        <w:numId w:val="3"/>
      </w:numPr>
    </w:pPr>
  </w:style>
  <w:style w:type="paragraph" w:styleId="ListNumber4">
    <w:name w:val="List Number 4"/>
    <w:basedOn w:val="List4"/>
    <w:rsid w:val="00EA79E1"/>
    <w:pPr>
      <w:numPr>
        <w:numId w:val="4"/>
      </w:numPr>
    </w:pPr>
  </w:style>
  <w:style w:type="paragraph" w:styleId="ListNumber5">
    <w:name w:val="List Number 5"/>
    <w:basedOn w:val="List5"/>
    <w:rsid w:val="00EA79E1"/>
    <w:pPr>
      <w:numPr>
        <w:numId w:val="5"/>
      </w:numPr>
    </w:pPr>
  </w:style>
  <w:style w:type="paragraph" w:styleId="BlockText">
    <w:name w:val="Block Text"/>
    <w:basedOn w:val="Normal"/>
    <w:rsid w:val="00EA79E1"/>
    <w:pPr>
      <w:spacing w:after="120"/>
      <w:ind w:left="1440" w:right="1440"/>
    </w:pPr>
  </w:style>
  <w:style w:type="character" w:customStyle="1" w:styleId="Subscript">
    <w:name w:val="Subscript"/>
    <w:basedOn w:val="DefaultParagraphFont"/>
    <w:rsid w:val="00EA79E1"/>
    <w:rPr>
      <w:sz w:val="16"/>
      <w:vertAlign w:val="subscript"/>
    </w:rPr>
  </w:style>
  <w:style w:type="character" w:customStyle="1" w:styleId="Superscript">
    <w:name w:val="Superscript"/>
    <w:basedOn w:val="DefaultParagraphFont"/>
    <w:rsid w:val="00EA79E1"/>
    <w:rPr>
      <w:sz w:val="16"/>
      <w:vertAlign w:val="superscript"/>
    </w:rPr>
  </w:style>
  <w:style w:type="character" w:customStyle="1" w:styleId="Symbols">
    <w:name w:val="Symbols"/>
    <w:basedOn w:val="DefaultParagraphFont"/>
    <w:rsid w:val="00EA79E1"/>
    <w:rPr>
      <w:rFonts w:ascii="Symbol" w:hAnsi="Symbol"/>
    </w:rPr>
  </w:style>
  <w:style w:type="character" w:customStyle="1" w:styleId="MenuOptions">
    <w:name w:val="Menu Options"/>
    <w:basedOn w:val="DefaultParagraphFont"/>
    <w:rsid w:val="00EA79E1"/>
    <w:rPr>
      <w:rFonts w:ascii="Arial Narrow" w:hAnsi="Arial Narrow"/>
      <w:smallCaps/>
    </w:rPr>
  </w:style>
  <w:style w:type="character" w:customStyle="1" w:styleId="Buttons">
    <w:name w:val="Buttons"/>
    <w:basedOn w:val="DefaultParagraphFont"/>
    <w:rsid w:val="00EA79E1"/>
    <w:rPr>
      <w:b/>
    </w:rPr>
  </w:style>
  <w:style w:type="character" w:customStyle="1" w:styleId="Underlined">
    <w:name w:val="Underlined"/>
    <w:basedOn w:val="DefaultParagraphFont"/>
    <w:rsid w:val="00EA79E1"/>
    <w:rPr>
      <w:u w:val="single"/>
    </w:rPr>
  </w:style>
  <w:style w:type="paragraph" w:customStyle="1" w:styleId="TableBodyTextRight">
    <w:name w:val="Table Body Text Right"/>
    <w:basedOn w:val="TableBodyText"/>
    <w:rsid w:val="00EA79E1"/>
    <w:pPr>
      <w:widowControl w:val="0"/>
      <w:autoSpaceDE w:val="0"/>
      <w:autoSpaceDN w:val="0"/>
      <w:adjustRightInd w:val="0"/>
      <w:jc w:val="right"/>
    </w:pPr>
    <w:rPr>
      <w:rFonts w:cs="Arial"/>
      <w:szCs w:val="18"/>
    </w:rPr>
  </w:style>
  <w:style w:type="paragraph" w:customStyle="1" w:styleId="CopyrightText">
    <w:name w:val="Copyright Text"/>
    <w:basedOn w:val="BodyText"/>
    <w:rsid w:val="00EA79E1"/>
    <w:rPr>
      <w:sz w:val="18"/>
    </w:rPr>
  </w:style>
  <w:style w:type="paragraph" w:customStyle="1" w:styleId="BodySmallRight">
    <w:name w:val="Body Small Right"/>
    <w:basedOn w:val="BodyTextRight"/>
    <w:rsid w:val="00EA79E1"/>
    <w:rPr>
      <w:sz w:val="18"/>
      <w:szCs w:val="18"/>
    </w:rPr>
  </w:style>
  <w:style w:type="paragraph" w:customStyle="1" w:styleId="MarginEdition">
    <w:name w:val="Margin Edition"/>
    <w:basedOn w:val="MarginNote"/>
    <w:rsid w:val="00EA79E1"/>
    <w:pPr>
      <w:spacing w:before="0" w:after="0"/>
    </w:pPr>
    <w:rPr>
      <w:rFonts w:ascii="Times New Roman" w:hAnsi="Times New Roman"/>
      <w:color w:val="999999"/>
    </w:rPr>
  </w:style>
  <w:style w:type="paragraph" w:customStyle="1" w:styleId="Spacer">
    <w:name w:val="Spacer"/>
    <w:basedOn w:val="Normal"/>
    <w:rsid w:val="00EA79E1"/>
    <w:rPr>
      <w:sz w:val="2"/>
      <w:szCs w:val="2"/>
    </w:rPr>
  </w:style>
  <w:style w:type="character" w:customStyle="1" w:styleId="Small">
    <w:name w:val="Small"/>
    <w:basedOn w:val="DefaultParagraphFont"/>
    <w:rsid w:val="00EA79E1"/>
    <w:rPr>
      <w:sz w:val="16"/>
    </w:rPr>
  </w:style>
  <w:style w:type="paragraph" w:customStyle="1" w:styleId="WideTable">
    <w:name w:val="Wide Table"/>
    <w:basedOn w:val="Normal"/>
    <w:rsid w:val="00EA79E1"/>
    <w:pPr>
      <w:ind w:left="-1418"/>
    </w:pPr>
    <w:rPr>
      <w:sz w:val="2"/>
      <w:szCs w:val="2"/>
    </w:rPr>
  </w:style>
  <w:style w:type="character" w:styleId="PageNumber">
    <w:name w:val="page number"/>
    <w:basedOn w:val="DefaultParagraphFont"/>
    <w:rsid w:val="00EA79E1"/>
  </w:style>
  <w:style w:type="paragraph" w:styleId="Quote">
    <w:name w:val="Quote"/>
    <w:basedOn w:val="Heading1"/>
    <w:link w:val="QuoteChar"/>
    <w:qFormat/>
    <w:rsid w:val="00EA79E1"/>
    <w:rPr>
      <w:b w:val="0"/>
      <w:sz w:val="72"/>
      <w:szCs w:val="72"/>
      <w:lang w:val="en-NZ"/>
    </w:rPr>
  </w:style>
  <w:style w:type="character" w:customStyle="1" w:styleId="QuoteChar">
    <w:name w:val="Quote Char"/>
    <w:basedOn w:val="DefaultParagraphFont"/>
    <w:link w:val="Quote"/>
    <w:rsid w:val="00EA79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79E1"/>
    <w:pPr>
      <w:pageBreakBefore/>
    </w:pPr>
  </w:style>
  <w:style w:type="paragraph" w:customStyle="1" w:styleId="Border">
    <w:name w:val="Border"/>
    <w:basedOn w:val="Normal"/>
    <w:qFormat/>
    <w:rsid w:val="00EA79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79E1"/>
    <w:rPr>
      <w:b/>
      <w:bCs/>
      <w:i/>
      <w:iCs/>
      <w:color w:val="auto"/>
    </w:rPr>
  </w:style>
  <w:style w:type="paragraph" w:styleId="IntenseQuote">
    <w:name w:val="Intense Quote"/>
    <w:basedOn w:val="Normal"/>
    <w:next w:val="Normal"/>
    <w:link w:val="IntenseQuoteChar"/>
    <w:uiPriority w:val="30"/>
    <w:qFormat/>
    <w:rsid w:val="00EA79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79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79E1"/>
    <w:rPr>
      <w:smallCaps/>
      <w:color w:val="auto"/>
      <w:u w:val="single"/>
    </w:rPr>
  </w:style>
  <w:style w:type="character" w:styleId="IntenseReference">
    <w:name w:val="Intense Reference"/>
    <w:basedOn w:val="DefaultParagraphFont"/>
    <w:uiPriority w:val="32"/>
    <w:qFormat/>
    <w:rsid w:val="00EA79E1"/>
    <w:rPr>
      <w:b/>
      <w:bCs/>
      <w:smallCaps/>
      <w:color w:val="auto"/>
      <w:spacing w:val="5"/>
      <w:u w:val="single"/>
    </w:rPr>
  </w:style>
  <w:style w:type="paragraph" w:customStyle="1" w:styleId="2ColumnHeading">
    <w:name w:val="2Column Heading"/>
    <w:basedOn w:val="BodyText"/>
    <w:qFormat/>
    <w:rsid w:val="00EA79E1"/>
    <w:pPr>
      <w:spacing w:after="60"/>
      <w:ind w:left="-2268"/>
    </w:pPr>
    <w:rPr>
      <w:b/>
    </w:rPr>
  </w:style>
  <w:style w:type="paragraph" w:customStyle="1" w:styleId="Heading1TOC">
    <w:name w:val="Heading1 TOC"/>
    <w:basedOn w:val="Normal"/>
    <w:qFormat/>
    <w:rsid w:val="00EA79E1"/>
    <w:pPr>
      <w:spacing w:before="240" w:after="120"/>
    </w:pPr>
    <w:rPr>
      <w:rFonts w:ascii="Times New Roman" w:hAnsi="Times New Roman"/>
      <w:b/>
      <w:sz w:val="32"/>
    </w:rPr>
  </w:style>
  <w:style w:type="paragraph" w:customStyle="1" w:styleId="Heading2TOC">
    <w:name w:val="Heading2 TOC"/>
    <w:basedOn w:val="Normal"/>
    <w:qFormat/>
    <w:rsid w:val="00EA79E1"/>
    <w:pPr>
      <w:spacing w:before="240" w:after="60"/>
    </w:pPr>
    <w:rPr>
      <w:rFonts w:ascii="Times New Roman" w:hAnsi="Times New Roman"/>
      <w:b/>
      <w:sz w:val="28"/>
    </w:rPr>
  </w:style>
  <w:style w:type="character" w:customStyle="1" w:styleId="Underline">
    <w:name w:val="Underline"/>
    <w:basedOn w:val="DefaultParagraphFont"/>
    <w:qFormat/>
    <w:rsid w:val="00EA79E1"/>
    <w:rPr>
      <w:u w:val="single"/>
    </w:rPr>
  </w:style>
  <w:style w:type="character" w:customStyle="1" w:styleId="BoldandItalics">
    <w:name w:val="Bold and Italics"/>
    <w:qFormat/>
    <w:rsid w:val="00EA79E1"/>
    <w:rPr>
      <w:b/>
      <w:i/>
      <w:u w:val="none"/>
    </w:rPr>
  </w:style>
  <w:style w:type="paragraph" w:styleId="BalloonText">
    <w:name w:val="Balloon Text"/>
    <w:basedOn w:val="Normal"/>
    <w:link w:val="BalloonTextChar"/>
    <w:rsid w:val="00EA79E1"/>
    <w:rPr>
      <w:rFonts w:ascii="Tahoma" w:hAnsi="Tahoma" w:cs="Tahoma"/>
      <w:sz w:val="16"/>
      <w:szCs w:val="16"/>
    </w:rPr>
  </w:style>
  <w:style w:type="character" w:customStyle="1" w:styleId="BalloonTextChar">
    <w:name w:val="Balloon Text Char"/>
    <w:basedOn w:val="DefaultParagraphFont"/>
    <w:link w:val="BalloonText"/>
    <w:rsid w:val="00EA79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79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79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79E1"/>
    <w:rPr>
      <w:b/>
      <w:color w:val="660033"/>
      <w:spacing w:val="0"/>
    </w:rPr>
  </w:style>
  <w:style w:type="paragraph" w:customStyle="1" w:styleId="Nameditemlist">
    <w:name w:val="Named item list"/>
    <w:basedOn w:val="BodyText"/>
    <w:qFormat/>
    <w:rsid w:val="00EA79E1"/>
    <w:pPr>
      <w:tabs>
        <w:tab w:val="left" w:pos="2835"/>
      </w:tabs>
      <w:ind w:left="2835" w:hanging="2835"/>
    </w:pPr>
  </w:style>
  <w:style w:type="paragraph" w:customStyle="1" w:styleId="BodyTextnopadding">
    <w:name w:val="Body Text no padding"/>
    <w:basedOn w:val="BodyText"/>
    <w:qFormat/>
    <w:rsid w:val="00EA79E1"/>
    <w:pPr>
      <w:spacing w:before="0" w:after="0"/>
    </w:pPr>
  </w:style>
  <w:style w:type="paragraph" w:customStyle="1" w:styleId="BodyTextBold">
    <w:name w:val="Body Text Bold"/>
    <w:basedOn w:val="BodyText"/>
    <w:qFormat/>
    <w:rsid w:val="00EA79E1"/>
    <w:rPr>
      <w:b/>
    </w:rPr>
  </w:style>
  <w:style w:type="character" w:styleId="Hyperlink">
    <w:name w:val="Hyperlink"/>
    <w:basedOn w:val="DefaultParagraphFont"/>
    <w:uiPriority w:val="99"/>
    <w:unhideWhenUsed/>
    <w:rsid w:val="00B82D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656</Words>
  <Characters>4005</Characters>
  <Application>Microsoft Office Word</Application>
  <DocSecurity>0</DocSecurity>
  <Lines>200</Lines>
  <Paragraphs>105</Paragraphs>
  <ScaleCrop>false</ScaleCrop>
  <Company>Author-it Software Corporation Ltd.</Company>
  <LinksUpToDate>false</LinksUpToDate>
  <CharactersWithSpaces>4556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TLID0019 Shift loads using manually-operated equipment</dc:title>
  <dc:subject>Approved</dc:subject>
  <dc:creator>Industry Skills Australia</dc:creator>
  <cp:keywords>Release: 1</cp:keywords>
  <dc:description>Review Date: 12 April 2008</dc:description>
  <cp:lastModifiedBy>HSD_TPCMSd.prod</cp:lastModifiedBy>
  <cp:revision>3</cp:revision>
  <dcterms:created xsi:type="dcterms:W3CDTF">2024-07-12T07:23:00Z</dcterms:created>
  <dcterms:modified xsi:type="dcterms:W3CDTF">2024-07-12T07:23:00Z</dcterms:modified>
</cp:coreProperties>
</file>