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156" w:rsidP="003B2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TLID0018 Prepare for transport of dangerous goods</w:t>
      </w:r>
      <w:r>
        <w:fldChar w:fldCharType="end"/>
      </w:r>
    </w:p>
    <w:p w:rsidR="003B2156" w:rsidP="003B2156">
      <w:pPr>
        <w:pStyle w:val="Version"/>
        <w:sectPr w:rsidSect="00915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F7A" w:rsidP="00915F7A">
      <w:pPr>
        <w:pStyle w:val="SuperHeading"/>
      </w:pPr>
      <w:r w:rsidRPr="00915F7A">
        <w:t>TLID0018 Prepare for transport of dangerous goods</w:t>
      </w:r>
    </w:p>
    <w:p w:rsidR="00000000" w:rsidRPr="00915F7A" w:rsidP="00915F7A">
      <w:pPr>
        <w:pStyle w:val="Heading1"/>
      </w:pPr>
      <w:bookmarkStart w:id="1" w:name="O_1192305"/>
      <w:bookmarkEnd w:id="1"/>
      <w:r w:rsidRPr="00915F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Release 1.</w:t>
            </w:r>
            <w:r w:rsidRPr="00915F7A">
              <w:t xml:space="preserve"> This is the first release of this unit of competency in the TLI Transport and Logistics Training Package.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2" w:name="O_1192306"/>
      <w:bookmarkEnd w:id="2"/>
      <w:r w:rsidRPr="00915F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This unit involves the skills and knowledge required to prepare for transpo</w:t>
            </w:r>
            <w:r w:rsidRPr="00915F7A">
              <w:t>rt of dangerous goods.</w:t>
            </w:r>
          </w:p>
          <w:p w:rsidR="00000000" w:rsidRPr="00915F7A" w:rsidP="00915F7A">
            <w:pPr>
              <w:pStyle w:val="BodyText"/>
            </w:pPr>
            <w:r w:rsidRPr="00915F7A">
              <w:t>It includes checking dangerous goods load, assessing vehicle suitability to transport intended load, checking emergency procedures and equipment, evaluating documented route plans, and completing required assessment process as part o</w:t>
            </w:r>
            <w:r w:rsidRPr="00915F7A">
              <w:t xml:space="preserve">f work activities undertaken within the transport and logistics industry. </w:t>
            </w:r>
          </w:p>
          <w:p w:rsidR="00000000" w:rsidRPr="00915F7A" w:rsidP="00915F7A">
            <w:pPr>
              <w:pStyle w:val="BodyText"/>
            </w:pPr>
            <w:r w:rsidRPr="00915F7A">
              <w:t>This is undertaken in accordance with relevant state/territory regulations for transporting dangerous goods, including the current Australian Dangerous Goods (ADG) Code.</w:t>
            </w:r>
          </w:p>
          <w:p w:rsidR="00000000" w:rsidRPr="00915F7A" w:rsidP="00915F7A">
            <w:pPr>
              <w:pStyle w:val="BodyText"/>
            </w:pPr>
            <w:r w:rsidRPr="00915F7A">
              <w:t>Work is per</w:t>
            </w:r>
            <w:r w:rsidRPr="00915F7A">
              <w:t xml:space="preserve">formed under limited supervision. </w:t>
            </w:r>
          </w:p>
          <w:p w:rsidR="00000000" w:rsidRPr="00915F7A" w:rsidP="00915F7A">
            <w:pPr>
              <w:pStyle w:val="BodyText"/>
            </w:pPr>
            <w:r w:rsidRPr="00915F7A">
              <w:t>No licensing, legislative or certification requirements apply to this unit at the time of publication.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3" w:name="O_1192307"/>
      <w:bookmarkEnd w:id="3"/>
      <w:r w:rsidRPr="00915F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Not applicable.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4" w:name="O_1192308"/>
      <w:bookmarkEnd w:id="4"/>
      <w:r w:rsidRPr="00915F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D – Load Handling.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5" w:name="O_1192309"/>
      <w:bookmarkEnd w:id="5"/>
      <w:r w:rsidRPr="00915F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Not applicable.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6" w:name="O_1192310"/>
      <w:bookmarkEnd w:id="6"/>
      <w:r w:rsidRPr="00915F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0"/>
        <w:gridCol w:w="2429"/>
        <w:gridCol w:w="517"/>
        <w:gridCol w:w="5890"/>
      </w:tblGrid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PERFORMANCE CRITERIA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Performance criteria describe the performance needed to demonstrate achievement of the element.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Check dangerous goods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is compared against transport documentation and discrepancies are noted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Job hazards are identified and required a</w:t>
            </w:r>
            <w:r w:rsidRPr="00915F7A">
              <w:t>ctions taken to minimise, control or eliminate identified hazards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is checked to ensure dangerous goods labels are clearly visible and legible, and packaged goods are correctly labelled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is checked to ensure containers are not damaged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Vehicle load is checked for compatibility or, where not compatible, checked for appropriate segregation in accordance with regulatory requirements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is assessed to ensure it is stowed and secured in or on vehicles in accordance with the c</w:t>
            </w:r>
            <w:r w:rsidRPr="00915F7A">
              <w:t xml:space="preserve">urrent ADG Code and National Transport Commission (NTC) Load Restraint Guide 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Shipping documentation and other relevant documents are located in cabin in accordance with regulatory requirements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Assess vehicle suitability to transport intended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Vehicle is assessed for suitability and appropriateness to carry designated dangerous goods, including classification, mass and configuration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Licence and insurance requirements are checked for conformity with current ADG Code and/or other applicable regulatory requirements, as required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restraint system/s is checked for serviceability and appropriateness to secure intended load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Vehicle is checked to ensure it is correctly and clearly marked and/or placarded for load being carried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Check emergency procedures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Emergency information for each type of transported dangerous good is noted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Regulatory and workplace procedures for an incident are noted, including notification of relevant personnel and authorities, and equipment used for containment, clean up or recovery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Personal protective equipment (PPE) and safety equipment are checke</w:t>
            </w:r>
            <w:r w:rsidRPr="00915F7A">
              <w:t>d for operational capability and appropriateness to proposed load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Emergency information is located in cabin in accordance with current ADG Code requirements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 xml:space="preserve">Evaluate documented </w:t>
            </w:r>
            <w:r w:rsidRPr="00915F7A">
              <w:rPr>
                <w:rStyle w:val="SpecialBold"/>
              </w:rPr>
              <w:t>route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 xml:space="preserve">Selected route plan and potential difficulties, including regulatory restrictions, traffic flow and conditions, obstacles, </w:t>
            </w:r>
            <w:r w:rsidRPr="00915F7A">
              <w:t>road standards and construction activities, are assessed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Regulatory and workplace procedures for driving, parking, loading and</w:t>
            </w:r>
            <w:r w:rsidRPr="00915F7A">
              <w:t xml:space="preserve"> unloading are identified, including actions for disengaging and/or securing vehicle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Load is inspected and checked for security to travel in accordance with relevant regulations and/or permit requirements and current ADG Code</w:t>
            </w:r>
          </w:p>
        </w:tc>
      </w:tr>
      <w:tr w:rsidTr="003B21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All required documentation for dangerous goods is completed in accordance with regulatory and workplace requirements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7" w:name="O_1192311"/>
      <w:bookmarkEnd w:id="7"/>
      <w:r w:rsidRPr="00915F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 xml:space="preserve">Foundation skills essential to performance are explicit in the performance criteria of this </w:t>
            </w:r>
            <w:r w:rsidRPr="00915F7A">
              <w:t>unit of competency.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8" w:name="O_1192312"/>
      <w:bookmarkEnd w:id="8"/>
      <w:r w:rsidRPr="00915F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Range is restricted to essential operating conditions and any other variables essential to the work environment.</w:t>
            </w:r>
          </w:p>
          <w:p w:rsidR="00000000" w:rsidRPr="00915F7A" w:rsidP="00915F7A">
            <w:pPr>
              <w:pStyle w:val="BodyText"/>
            </w:pPr>
            <w:r w:rsidRPr="00915F7A">
              <w:t>Non-essential conditions can be found in the T</w:t>
            </w:r>
            <w:r w:rsidRPr="00915F7A">
              <w:t>LI Transport and Logistics Training Package Companion Volume Implementation Guide.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9" w:name="O_1192313"/>
      <w:bookmarkEnd w:id="9"/>
      <w:r w:rsidRPr="00915F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>This unit replaces and is equivalent to TLID3027 Prepare for transport of dangerous goods.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10" w:name="O_1192320"/>
      <w:bookmarkEnd w:id="10"/>
      <w:r w:rsidRPr="00915F7A">
        <w:t>Links</w:t>
      </w:r>
    </w:p>
    <w:p w:rsidR="00000000" w:rsidRPr="00915F7A" w:rsidP="003B2156">
      <w:pPr>
        <w:pStyle w:val="BodyText"/>
      </w:pPr>
      <w:r w:rsidRPr="00915F7A">
        <w:t>Compani</w:t>
      </w:r>
      <w:r w:rsidRPr="00915F7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0D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5F7A" w:rsidP="003B2156">
      <w:pPr>
        <w:pStyle w:val="BodyText"/>
        <w:sectPr w:rsidSect="00915F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5F7A" w:rsidP="00915F7A">
      <w:pPr>
        <w:pStyle w:val="SuperHeading"/>
      </w:pPr>
      <w:r w:rsidRPr="00915F7A">
        <w:t xml:space="preserve">Assessment </w:t>
      </w:r>
      <w:r w:rsidRPr="00915F7A">
        <w:t>Requirements for TLID0018 Prepare for transport of dangerous goods</w:t>
      </w:r>
    </w:p>
    <w:p w:rsidR="00000000" w:rsidRPr="00915F7A" w:rsidP="00915F7A">
      <w:pPr>
        <w:pStyle w:val="Heading1"/>
      </w:pPr>
      <w:bookmarkStart w:id="11" w:name="O_1192315"/>
      <w:bookmarkEnd w:id="11"/>
      <w:r w:rsidRPr="00915F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rPr>
                <w:rStyle w:val="SpecialBold"/>
              </w:rPr>
              <w:t>Release 1.</w:t>
            </w:r>
            <w:r w:rsidRPr="00915F7A">
              <w:t xml:space="preserve"> This is the first release of this unit of competency in the TLI Transport and Logistics Training Package.</w:t>
            </w:r>
          </w:p>
        </w:tc>
      </w:tr>
    </w:tbl>
    <w:p w:rsidR="003B2156" w:rsidP="00915F7A">
      <w:pPr>
        <w:pStyle w:val="NoPaddingFontSize1"/>
      </w:pPr>
    </w:p>
    <w:p w:rsidR="003B2156" w:rsidP="00915F7A">
      <w:pPr>
        <w:pStyle w:val="NoPaddingFontSize1"/>
      </w:pPr>
    </w:p>
    <w:p w:rsidR="00000000" w:rsidRPr="00915F7A" w:rsidP="00915F7A">
      <w:pPr>
        <w:pStyle w:val="Heading1"/>
      </w:pPr>
      <w:bookmarkStart w:id="12" w:name="O_1192316"/>
      <w:bookmarkEnd w:id="12"/>
      <w:r w:rsidRPr="00915F7A">
        <w:t>Performance</w:t>
      </w:r>
      <w:r w:rsidRPr="00915F7A">
        <w:t xml:space="preserve">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ListBullet"/>
            </w:pPr>
            <w:r w:rsidRPr="00915F7A">
              <w:t>applying hierarchy of hazard risk control</w:t>
            </w:r>
          </w:p>
          <w:p w:rsidR="00000000" w:rsidRPr="00915F7A" w:rsidP="00915F7A">
            <w:pPr>
              <w:pStyle w:val="ListBullet"/>
            </w:pPr>
            <w:r w:rsidRPr="00915F7A">
              <w:t>assessing operational suitability of equipment and vehicles for dangerous goods transportation</w:t>
            </w:r>
          </w:p>
          <w:p w:rsidR="00000000" w:rsidRPr="00915F7A" w:rsidP="00915F7A">
            <w:pPr>
              <w:pStyle w:val="ListBullet"/>
            </w:pPr>
            <w:r w:rsidRPr="00915F7A">
              <w:t xml:space="preserve">completing relevant documentation </w:t>
            </w:r>
          </w:p>
          <w:p w:rsidR="00000000" w:rsidRPr="00915F7A" w:rsidP="00915F7A">
            <w:pPr>
              <w:pStyle w:val="ListBullet"/>
            </w:pPr>
            <w:r w:rsidRPr="00915F7A">
              <w:t>complying with dangerous goods systems and relevant regulatory requirements</w:t>
            </w:r>
          </w:p>
          <w:p w:rsidR="00000000" w:rsidRPr="00915F7A" w:rsidP="00915F7A">
            <w:pPr>
              <w:pStyle w:val="ListBullet"/>
            </w:pPr>
            <w:r w:rsidRPr="00915F7A">
              <w:t>determining required permits and/or licenses</w:t>
            </w:r>
          </w:p>
          <w:p w:rsidR="00000000" w:rsidRPr="00915F7A" w:rsidP="00915F7A">
            <w:pPr>
              <w:pStyle w:val="ListBullet"/>
            </w:pPr>
            <w:r w:rsidRPr="00915F7A">
              <w:t>estim</w:t>
            </w:r>
            <w:r w:rsidRPr="00915F7A">
              <w:t>ating mass, volume and special requirements of load</w:t>
            </w:r>
          </w:p>
          <w:p w:rsidR="00000000" w:rsidRPr="00915F7A" w:rsidP="00915F7A">
            <w:pPr>
              <w:pStyle w:val="ListBullet"/>
            </w:pPr>
            <w:r w:rsidRPr="00915F7A">
              <w:t>estimating weight and dimensions of load and special requirements</w:t>
            </w:r>
          </w:p>
          <w:p w:rsidR="00000000" w:rsidRPr="00915F7A" w:rsidP="00915F7A">
            <w:pPr>
              <w:pStyle w:val="ListBullet"/>
            </w:pPr>
            <w:r w:rsidRPr="00915F7A">
              <w:t>identifying goods coding, markings and emergency information panels for mode of transport/storage selected</w:t>
            </w:r>
          </w:p>
          <w:p w:rsidR="00000000" w:rsidRPr="00915F7A" w:rsidP="00915F7A">
            <w:pPr>
              <w:pStyle w:val="ListBullet"/>
            </w:pPr>
            <w:r w:rsidRPr="00915F7A">
              <w:t>identifying hazards and applyin</w:t>
            </w:r>
            <w:r w:rsidRPr="00915F7A">
              <w:t xml:space="preserve">g precautions and required actions to minimise, control or eliminate identified hazards </w:t>
            </w:r>
          </w:p>
          <w:p w:rsidR="00000000" w:rsidRPr="00915F7A" w:rsidP="00915F7A">
            <w:pPr>
              <w:pStyle w:val="ListBullet"/>
            </w:pPr>
            <w:r w:rsidRPr="00915F7A">
              <w:t>interpreting and following operational instructions and prioritising work</w:t>
            </w:r>
          </w:p>
          <w:p w:rsidR="00000000" w:rsidRPr="00915F7A" w:rsidP="00915F7A">
            <w:pPr>
              <w:pStyle w:val="ListBullet"/>
            </w:pPr>
            <w:r w:rsidRPr="00915F7A">
              <w:t>maintaining workplace records and documentation, including completion of dangerous goods decl</w:t>
            </w:r>
            <w:r w:rsidRPr="00915F7A">
              <w:t>aration</w:t>
            </w:r>
          </w:p>
          <w:p w:rsidR="00000000" w:rsidRPr="00915F7A" w:rsidP="00915F7A">
            <w:pPr>
              <w:pStyle w:val="ListBullet"/>
            </w:pPr>
            <w:r w:rsidRPr="00915F7A">
              <w:t xml:space="preserve">reading and interpreting relevant workplace instructions, procedures, information and signs </w:t>
            </w:r>
          </w:p>
          <w:p w:rsidR="00000000" w:rsidRPr="00915F7A" w:rsidP="00915F7A">
            <w:pPr>
              <w:pStyle w:val="ListBullet"/>
            </w:pPr>
            <w:r w:rsidRPr="00915F7A">
              <w:t>reporting and/or rectifying identified problems promptly in accordance with regulatory requirements and workplace procedures</w:t>
            </w:r>
          </w:p>
          <w:p w:rsidR="00000000" w:rsidRPr="00915F7A" w:rsidP="00915F7A">
            <w:pPr>
              <w:pStyle w:val="ListBullet"/>
            </w:pPr>
            <w:r w:rsidRPr="00915F7A">
              <w:t>selecting and using required p</w:t>
            </w:r>
            <w:r w:rsidRPr="00915F7A">
              <w:t>ersonal protective equipment (PPE) conforming to industry and work health safety (WHS)/occupational health and safety (OHS) standards</w:t>
            </w:r>
          </w:p>
          <w:p w:rsidR="00000000" w:rsidRPr="00915F7A" w:rsidP="00915F7A">
            <w:pPr>
              <w:pStyle w:val="ListBullet"/>
            </w:pPr>
            <w:r w:rsidRPr="00915F7A">
              <w:t>working systematically with required attention to detail without injury to self or others, or damage to goods or equipment</w:t>
            </w:r>
            <w:r w:rsidRPr="00915F7A">
              <w:t>.</w:t>
            </w:r>
          </w:p>
        </w:tc>
      </w:tr>
    </w:tbl>
    <w:p w:rsidR="00000000" w:rsidRPr="00915F7A" w:rsidP="00915F7A">
      <w:pPr>
        <w:pStyle w:val="NoPaddingFontSize1"/>
      </w:pPr>
    </w:p>
    <w:p w:rsidR="00000000" w:rsidRPr="00915F7A" w:rsidP="00915F7A">
      <w:pPr>
        <w:pStyle w:val="AllowPageBreak"/>
      </w:pPr>
    </w:p>
    <w:p w:rsidR="00000000" w:rsidRPr="00915F7A" w:rsidP="00915F7A">
      <w:pPr>
        <w:pStyle w:val="Heading1"/>
      </w:pPr>
      <w:bookmarkStart w:id="13" w:name="O_1192317"/>
      <w:bookmarkEnd w:id="13"/>
      <w:r w:rsidRPr="00915F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F7A">
            <w:pPr>
              <w:pStyle w:val="BodyText"/>
              <w:rPr>
                <w:lang w:val="en-NZ"/>
              </w:rPr>
            </w:pPr>
            <w:r w:rsidRPr="00915F7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ListBullet"/>
            </w:pPr>
            <w:r w:rsidRPr="00915F7A">
              <w:t>current Australian Dangerous Goods (ADG) Code</w:t>
            </w:r>
          </w:p>
          <w:p w:rsidR="00000000" w:rsidRPr="00915F7A" w:rsidP="00915F7A">
            <w:pPr>
              <w:pStyle w:val="ListBullet"/>
            </w:pPr>
            <w:r w:rsidRPr="00915F7A">
              <w:t>housekeeping standards and procedures</w:t>
            </w:r>
          </w:p>
          <w:p w:rsidR="00000000" w:rsidRPr="00915F7A" w:rsidP="00915F7A">
            <w:pPr>
              <w:pStyle w:val="ListBullet"/>
            </w:pPr>
            <w:r w:rsidRPr="00915F7A">
              <w:t>methods of securing a vehicle following loading of dangerous goods</w:t>
            </w:r>
          </w:p>
          <w:p w:rsidR="00000000" w:rsidRPr="00915F7A" w:rsidP="00915F7A">
            <w:pPr>
              <w:pStyle w:val="ListBullet"/>
            </w:pPr>
            <w:r w:rsidRPr="00915F7A">
              <w:t>problems that may occur when preparing to transport dangerous goods and actions that should be taken to prevent or solve these problems</w:t>
            </w:r>
          </w:p>
          <w:p w:rsidR="00000000" w:rsidRPr="00915F7A" w:rsidP="00915F7A">
            <w:pPr>
              <w:pStyle w:val="ListBullet"/>
            </w:pPr>
            <w:r w:rsidRPr="00915F7A">
              <w:t>regulatory and procedures for preparing dangerous goods</w:t>
            </w:r>
          </w:p>
          <w:p w:rsidR="00000000" w:rsidRPr="00915F7A" w:rsidP="00915F7A">
            <w:pPr>
              <w:pStyle w:val="ListBullet"/>
            </w:pPr>
            <w:r w:rsidRPr="00915F7A">
              <w:t>relevant permit and licence requirements</w:t>
            </w:r>
          </w:p>
          <w:p w:rsidR="00000000" w:rsidRPr="00915F7A" w:rsidP="00915F7A">
            <w:pPr>
              <w:pStyle w:val="ListBullet"/>
            </w:pPr>
            <w:r w:rsidRPr="00915F7A">
              <w:t>relevant state and/or t</w:t>
            </w:r>
            <w:r w:rsidRPr="00915F7A">
              <w:t xml:space="preserve">erritory mass and loading regulations for vehicles transporting dangerous goods, including National Transport Commission (NTC) Load Restraint Guide </w:t>
            </w:r>
          </w:p>
          <w:p w:rsidR="00000000" w:rsidRPr="00915F7A" w:rsidP="00915F7A">
            <w:pPr>
              <w:pStyle w:val="ListBullet"/>
            </w:pPr>
            <w:r w:rsidRPr="00915F7A">
              <w:t>risks when transporting dangerous goods and related precautions to control the risk</w:t>
            </w:r>
          </w:p>
          <w:p w:rsidR="00000000" w:rsidRPr="00915F7A" w:rsidP="00915F7A">
            <w:pPr>
              <w:pStyle w:val="ListBullet"/>
            </w:pPr>
            <w:r w:rsidRPr="00915F7A">
              <w:t xml:space="preserve">WHS/OHS procedures and </w:t>
            </w:r>
            <w:r w:rsidRPr="00915F7A">
              <w:t>guidelines for transporting dangerous goods.</w:t>
            </w:r>
          </w:p>
        </w:tc>
      </w:tr>
    </w:tbl>
    <w:p w:rsidR="00000000" w:rsidRPr="00915F7A" w:rsidP="00915F7A">
      <w:pPr>
        <w:pStyle w:val="NoPaddingFontSize1"/>
      </w:pPr>
    </w:p>
    <w:p w:rsidR="00000000" w:rsidRPr="00915F7A" w:rsidP="00915F7A">
      <w:pPr>
        <w:pStyle w:val="AllowPageBreak"/>
      </w:pPr>
    </w:p>
    <w:p w:rsidR="00000000" w:rsidRPr="00915F7A" w:rsidP="00915F7A">
      <w:pPr>
        <w:pStyle w:val="Heading1"/>
      </w:pPr>
      <w:bookmarkStart w:id="14" w:name="O_1192318"/>
      <w:bookmarkEnd w:id="14"/>
      <w:r w:rsidRPr="00915F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5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F7A" w:rsidP="00915F7A">
            <w:pPr>
              <w:pStyle w:val="BodyText"/>
            </w:pPr>
            <w:r w:rsidRPr="00915F7A">
              <w:t xml:space="preserve">Assessors must hold credentials specified within the Standards for Registered Training Organisations current at the time of assessment. </w:t>
            </w:r>
          </w:p>
          <w:p w:rsidR="00000000" w:rsidRPr="00915F7A" w:rsidP="00915F7A">
            <w:pPr>
              <w:pStyle w:val="BodyText"/>
            </w:pPr>
            <w:r w:rsidRPr="00915F7A">
              <w:t>Assessment must satisfy the Pri</w:t>
            </w:r>
            <w:r w:rsidRPr="00915F7A">
              <w:t>nciples of Assessment and Rules of Evidence and all regulatory requirements included within the Standards for Registered Training Organisations current at the time of assessment.</w:t>
            </w:r>
          </w:p>
          <w:p w:rsidR="00000000" w:rsidRPr="00915F7A" w:rsidP="00915F7A">
            <w:pPr>
              <w:pStyle w:val="BodyText"/>
            </w:pPr>
            <w:r w:rsidRPr="00915F7A">
              <w:t>Assessment must occur in workplace operational situations where it is appropr</w:t>
            </w:r>
            <w:r w:rsidRPr="00915F7A">
              <w:t>iate to do so; where this is not appropriate, assessment must occur in simulated workplace operational situations that replicate workplace conditions.</w:t>
            </w:r>
          </w:p>
          <w:p w:rsidR="00000000" w:rsidRPr="00915F7A" w:rsidP="00915F7A">
            <w:pPr>
              <w:pStyle w:val="BodyText"/>
            </w:pPr>
            <w:r w:rsidRPr="00915F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5F7A" w:rsidP="00915F7A">
            <w:pPr>
              <w:pStyle w:val="BodyText"/>
            </w:pPr>
            <w:r w:rsidRPr="00915F7A">
              <w:t>Resources for assessment must include access to:</w:t>
            </w:r>
          </w:p>
          <w:p w:rsidR="00000000" w:rsidRPr="00915F7A" w:rsidP="00915F7A">
            <w:pPr>
              <w:pStyle w:val="ListBullet"/>
            </w:pPr>
            <w:r w:rsidRPr="00915F7A">
              <w:t>a range of relevant exercises, case st</w:t>
            </w:r>
            <w:r w:rsidRPr="00915F7A">
              <w:t>udies and/or simulations</w:t>
            </w:r>
          </w:p>
          <w:p w:rsidR="00000000" w:rsidRPr="00915F7A" w:rsidP="00915F7A">
            <w:pPr>
              <w:pStyle w:val="ListBullet"/>
            </w:pPr>
            <w:r w:rsidRPr="00915F7A">
              <w:t>relevant and appropriate materials, tools, equipment and PPE currently used in industry</w:t>
            </w:r>
          </w:p>
          <w:p w:rsidR="00000000" w:rsidRPr="00915F7A" w:rsidP="00915F7A">
            <w:pPr>
              <w:pStyle w:val="ListBullet"/>
            </w:pPr>
            <w:r w:rsidRPr="00915F7A">
              <w:t>applicable documentation, including legislation, regulations, current ADG Code, NTC Load Restraint Guide, codes of practice, workplace procedur</w:t>
            </w:r>
            <w:r w:rsidRPr="00915F7A">
              <w:t>es and operation manuals.</w:t>
            </w:r>
          </w:p>
        </w:tc>
      </w:tr>
    </w:tbl>
    <w:p w:rsidR="00000000" w:rsidRPr="00915F7A" w:rsidP="00915F7A">
      <w:pPr>
        <w:pStyle w:val="NoPaddingFontSize1"/>
      </w:pPr>
    </w:p>
    <w:p w:rsidR="00000000" w:rsidRPr="00915F7A" w:rsidP="00915F7A">
      <w:pPr>
        <w:pStyle w:val="AllowPageBreak"/>
      </w:pPr>
    </w:p>
    <w:p w:rsidR="00000000" w:rsidRPr="00915F7A" w:rsidP="00915F7A">
      <w:pPr>
        <w:pStyle w:val="Heading1"/>
      </w:pPr>
      <w:bookmarkStart w:id="15" w:name="O_1192321"/>
      <w:bookmarkEnd w:id="15"/>
      <w:r w:rsidRPr="00915F7A">
        <w:t>Links</w:t>
      </w:r>
    </w:p>
    <w:p w:rsidR="00000000" w:rsidRPr="00915F7A" w:rsidP="003B2156">
      <w:pPr>
        <w:pStyle w:val="BodyText"/>
      </w:pPr>
      <w:r w:rsidRPr="00915F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0D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5F7A" w:rsidP="00915F7A"/>
    <w:sectPr w:rsidSect="00915F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 w:rsidRPr="003B2156" w:rsidP="003B2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56" w:rsidP="00915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156" w:rsidP="00915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2156" w:rsidP="00915F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 w:rsidP="00915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2156">
      <w:t>Approved</w:t>
    </w:r>
    <w:r w:rsidR="003B21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1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2156">
      <w:rPr>
        <w:noProof/>
      </w:rPr>
      <w:t>4</w:t>
    </w:r>
    <w:r>
      <w:rPr>
        <w:noProof/>
      </w:rPr>
      <w:fldChar w:fldCharType="end"/>
    </w:r>
  </w:p>
  <w:p w:rsidR="00915F7A" w:rsidP="00915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21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2156">
      <w:t>Industry Skills Australia</w:t>
    </w:r>
    <w:r w:rsidR="003B2156">
      <w:fldChar w:fldCharType="end"/>
    </w:r>
  </w:p>
  <w:p w:rsidR="00915F7A" w:rsidP="00915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F7A" w:rsidRPr="003B2156" w:rsidP="003B2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56" w:rsidRPr="002D2AF8" w:rsidP="00915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TLID0018 Prepare for transport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2156" w:rsidP="00915F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F7A" w:rsidRPr="002D2AF8" w:rsidP="00915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2156">
      <w:t>TLID0018 Prepare for transport of dangerous goods</w:t>
    </w:r>
    <w:r w:rsidR="003B21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2156">
      <w:rPr>
        <w:noProof/>
      </w:rPr>
      <w:t>2 March 2025</w:t>
    </w:r>
    <w:r>
      <w:fldChar w:fldCharType="end"/>
    </w:r>
  </w:p>
  <w:p w:rsidR="00915F7A" w:rsidP="00915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74B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4A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F7A"/>
  </w:style>
  <w:style w:type="character" w:customStyle="1" w:styleId="Heading1Char">
    <w:name w:val="Heading 1 Char"/>
    <w:basedOn w:val="DefaultParagraphFont"/>
    <w:link w:val="Heading1"/>
    <w:rsid w:val="00915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F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F7A"/>
    <w:rPr>
      <w:b/>
      <w:spacing w:val="0"/>
    </w:rPr>
  </w:style>
  <w:style w:type="paragraph" w:customStyle="1" w:styleId="SuperHeading">
    <w:name w:val="SuperHeading"/>
    <w:basedOn w:val="Normal"/>
    <w:rsid w:val="00915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5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F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F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F7A"/>
    <w:rPr>
      <w:i/>
    </w:rPr>
  </w:style>
  <w:style w:type="paragraph" w:styleId="Caption">
    <w:name w:val="caption"/>
    <w:basedOn w:val="BodyText"/>
    <w:next w:val="Normal"/>
    <w:qFormat/>
    <w:rsid w:val="00915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F7A"/>
  </w:style>
  <w:style w:type="paragraph" w:styleId="TableofFigures">
    <w:name w:val="table of figures"/>
    <w:basedOn w:val="Normal"/>
    <w:next w:val="Normal"/>
    <w:semiHidden/>
    <w:rsid w:val="00915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F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F7A"/>
    <w:rPr>
      <w:rFonts w:ascii="Wingdings" w:hAnsi="Wingdings"/>
    </w:rPr>
  </w:style>
  <w:style w:type="paragraph" w:customStyle="1" w:styleId="TableHeading">
    <w:name w:val="Table Heading"/>
    <w:basedOn w:val="HeadingBase"/>
    <w:rsid w:val="00915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F7A"/>
    <w:rPr>
      <w:color w:val="0033CC"/>
      <w:u w:val="none"/>
    </w:rPr>
  </w:style>
  <w:style w:type="paragraph" w:customStyle="1" w:styleId="BodyTextRight">
    <w:name w:val="Body Text Right"/>
    <w:basedOn w:val="BodyText"/>
    <w:rsid w:val="00915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F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F7A"/>
    <w:rPr>
      <w:sz w:val="32"/>
    </w:rPr>
  </w:style>
  <w:style w:type="paragraph" w:customStyle="1" w:styleId="HeadingProcedure">
    <w:name w:val="Heading Procedure"/>
    <w:basedOn w:val="HeadingBase"/>
    <w:next w:val="Normal"/>
    <w:rsid w:val="00915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F7A"/>
    <w:pPr>
      <w:spacing w:before="60" w:after="60"/>
    </w:pPr>
  </w:style>
  <w:style w:type="paragraph" w:styleId="ListContinue">
    <w:name w:val="List Continue"/>
    <w:basedOn w:val="List"/>
    <w:rsid w:val="00915F7A"/>
    <w:pPr>
      <w:ind w:firstLine="0"/>
    </w:pPr>
  </w:style>
  <w:style w:type="paragraph" w:customStyle="1" w:styleId="ListNote">
    <w:name w:val="List Note"/>
    <w:basedOn w:val="List"/>
    <w:rsid w:val="00915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F7A"/>
    <w:rPr>
      <w:rFonts w:ascii="Courier New" w:hAnsi="Courier New"/>
    </w:rPr>
  </w:style>
  <w:style w:type="paragraph" w:customStyle="1" w:styleId="NoteBullet">
    <w:name w:val="Note Bullet"/>
    <w:basedOn w:val="Note"/>
    <w:rsid w:val="00915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F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F7A"/>
    <w:rPr>
      <w:b/>
      <w:smallCaps/>
    </w:rPr>
  </w:style>
  <w:style w:type="paragraph" w:customStyle="1" w:styleId="TableListNumber">
    <w:name w:val="Table List Number"/>
    <w:basedOn w:val="ListNumber"/>
    <w:rsid w:val="00915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F7A"/>
    <w:pPr>
      <w:numPr>
        <w:numId w:val="8"/>
      </w:numPr>
    </w:pPr>
  </w:style>
  <w:style w:type="paragraph" w:customStyle="1" w:styleId="ListAlpha2">
    <w:name w:val="List Alpha 2"/>
    <w:basedOn w:val="List2"/>
    <w:rsid w:val="00915F7A"/>
    <w:pPr>
      <w:numPr>
        <w:numId w:val="7"/>
      </w:numPr>
    </w:pPr>
  </w:style>
  <w:style w:type="paragraph" w:styleId="List2">
    <w:name w:val="List 2"/>
    <w:basedOn w:val="BodyText"/>
    <w:rsid w:val="00915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F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F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F7A"/>
    <w:pPr>
      <w:numPr>
        <w:numId w:val="3"/>
      </w:numPr>
    </w:pPr>
  </w:style>
  <w:style w:type="paragraph" w:styleId="ListContinue2">
    <w:name w:val="List Continue 2"/>
    <w:basedOn w:val="List2"/>
    <w:rsid w:val="00915F7A"/>
    <w:pPr>
      <w:ind w:firstLine="0"/>
    </w:pPr>
  </w:style>
  <w:style w:type="paragraph" w:styleId="ListContinue3">
    <w:name w:val="List Continue 3"/>
    <w:basedOn w:val="List3"/>
    <w:rsid w:val="00915F7A"/>
    <w:pPr>
      <w:ind w:left="1021" w:firstLine="0"/>
    </w:pPr>
  </w:style>
  <w:style w:type="paragraph" w:styleId="ListContinue4">
    <w:name w:val="List Continue 4"/>
    <w:basedOn w:val="List4"/>
    <w:rsid w:val="00915F7A"/>
    <w:pPr>
      <w:ind w:firstLine="0"/>
    </w:pPr>
  </w:style>
  <w:style w:type="paragraph" w:styleId="ListContinue5">
    <w:name w:val="List Continue 5"/>
    <w:basedOn w:val="List5"/>
    <w:rsid w:val="00915F7A"/>
    <w:pPr>
      <w:ind w:firstLine="0"/>
    </w:pPr>
  </w:style>
  <w:style w:type="paragraph" w:styleId="ListNumber3">
    <w:name w:val="List Number 3"/>
    <w:basedOn w:val="List3"/>
    <w:rsid w:val="00915F7A"/>
    <w:pPr>
      <w:numPr>
        <w:numId w:val="4"/>
      </w:numPr>
    </w:pPr>
  </w:style>
  <w:style w:type="paragraph" w:styleId="ListNumber4">
    <w:name w:val="List Number 4"/>
    <w:basedOn w:val="List4"/>
    <w:rsid w:val="00915F7A"/>
    <w:pPr>
      <w:numPr>
        <w:numId w:val="5"/>
      </w:numPr>
    </w:pPr>
  </w:style>
  <w:style w:type="paragraph" w:styleId="ListNumber5">
    <w:name w:val="List Number 5"/>
    <w:basedOn w:val="List5"/>
    <w:rsid w:val="00915F7A"/>
    <w:pPr>
      <w:numPr>
        <w:numId w:val="6"/>
      </w:numPr>
    </w:pPr>
  </w:style>
  <w:style w:type="paragraph" w:styleId="BlockText">
    <w:name w:val="Block Text"/>
    <w:basedOn w:val="Normal"/>
    <w:rsid w:val="00915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F7A"/>
    <w:rPr>
      <w:sz w:val="16"/>
      <w:vertAlign w:val="superscript"/>
    </w:rPr>
  </w:style>
  <w:style w:type="character" w:customStyle="1" w:styleId="Symbols">
    <w:name w:val="Symbols"/>
    <w:basedOn w:val="DefaultParagraphFont"/>
    <w:rsid w:val="00915F7A"/>
    <w:rPr>
      <w:rFonts w:ascii="Symbol" w:hAnsi="Symbol"/>
    </w:rPr>
  </w:style>
  <w:style w:type="character" w:customStyle="1" w:styleId="MenuOptions">
    <w:name w:val="Menu Options"/>
    <w:basedOn w:val="DefaultParagraphFont"/>
    <w:rsid w:val="00915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F7A"/>
    <w:rPr>
      <w:b/>
    </w:rPr>
  </w:style>
  <w:style w:type="character" w:customStyle="1" w:styleId="Underlined">
    <w:name w:val="Underlined"/>
    <w:basedOn w:val="DefaultParagraphFont"/>
    <w:rsid w:val="00915F7A"/>
    <w:rPr>
      <w:u w:val="single"/>
    </w:rPr>
  </w:style>
  <w:style w:type="paragraph" w:customStyle="1" w:styleId="TableBodyTextRight">
    <w:name w:val="Table Body Text Right"/>
    <w:basedOn w:val="TableBodyText"/>
    <w:rsid w:val="00915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F7A"/>
    <w:rPr>
      <w:sz w:val="18"/>
    </w:rPr>
  </w:style>
  <w:style w:type="paragraph" w:customStyle="1" w:styleId="BodySmallRight">
    <w:name w:val="Body Small Right"/>
    <w:basedOn w:val="BodyTextRight"/>
    <w:rsid w:val="00915F7A"/>
    <w:rPr>
      <w:sz w:val="18"/>
      <w:szCs w:val="18"/>
    </w:rPr>
  </w:style>
  <w:style w:type="paragraph" w:customStyle="1" w:styleId="MarginEdition">
    <w:name w:val="Margin Edition"/>
    <w:basedOn w:val="MarginNote"/>
    <w:rsid w:val="00915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F7A"/>
    <w:rPr>
      <w:sz w:val="2"/>
      <w:szCs w:val="2"/>
    </w:rPr>
  </w:style>
  <w:style w:type="character" w:customStyle="1" w:styleId="Small">
    <w:name w:val="Small"/>
    <w:basedOn w:val="DefaultParagraphFont"/>
    <w:rsid w:val="00915F7A"/>
    <w:rPr>
      <w:sz w:val="16"/>
    </w:rPr>
  </w:style>
  <w:style w:type="paragraph" w:customStyle="1" w:styleId="WideTable">
    <w:name w:val="Wide Table"/>
    <w:basedOn w:val="Normal"/>
    <w:rsid w:val="00915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F7A"/>
  </w:style>
  <w:style w:type="paragraph" w:styleId="Quote">
    <w:name w:val="Quote"/>
    <w:basedOn w:val="Heading1"/>
    <w:link w:val="QuoteChar"/>
    <w:qFormat/>
    <w:rsid w:val="00915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F7A"/>
    <w:pPr>
      <w:pageBreakBefore/>
    </w:pPr>
  </w:style>
  <w:style w:type="paragraph" w:customStyle="1" w:styleId="Border">
    <w:name w:val="Border"/>
    <w:basedOn w:val="Normal"/>
    <w:qFormat/>
    <w:rsid w:val="00915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F7A"/>
    <w:rPr>
      <w:u w:val="single"/>
    </w:rPr>
  </w:style>
  <w:style w:type="character" w:customStyle="1" w:styleId="BoldandItalics">
    <w:name w:val="Bold and Italics"/>
    <w:qFormat/>
    <w:rsid w:val="00915F7A"/>
    <w:rPr>
      <w:b/>
      <w:i/>
      <w:u w:val="none"/>
    </w:rPr>
  </w:style>
  <w:style w:type="paragraph" w:styleId="BalloonText">
    <w:name w:val="Balloon Text"/>
    <w:basedOn w:val="Normal"/>
    <w:link w:val="BalloonTextChar"/>
    <w:rsid w:val="00915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F7A"/>
    <w:pPr>
      <w:spacing w:before="0" w:after="0"/>
    </w:pPr>
  </w:style>
  <w:style w:type="paragraph" w:customStyle="1" w:styleId="BodyTextBold">
    <w:name w:val="Body Text Bold"/>
    <w:basedOn w:val="BodyText"/>
    <w:qFormat/>
    <w:rsid w:val="00915F7A"/>
    <w:rPr>
      <w:b/>
    </w:rPr>
  </w:style>
  <w:style w:type="character" w:styleId="Hyperlink">
    <w:name w:val="Hyperlink"/>
    <w:basedOn w:val="DefaultParagraphFont"/>
    <w:uiPriority w:val="99"/>
    <w:unhideWhenUsed/>
    <w:rsid w:val="003B2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7685</Characters>
  <Application>Microsoft Office Word</Application>
  <DocSecurity>0</DocSecurity>
  <Lines>256</Lines>
  <Paragraphs>143</Paragraphs>
  <ScaleCrop>false</ScaleCrop>
  <Company>Author-it Software Corporation Ltd.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TLID0018 Prepare for transport of 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