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2F9B" w:rsidP="00522F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TLID0014 Load and unload explosives/dangerous goods</w:t>
      </w:r>
      <w:r>
        <w:fldChar w:fldCharType="end"/>
      </w:r>
    </w:p>
    <w:p w:rsidR="00522F9B" w:rsidP="00522F9B">
      <w:pPr>
        <w:pStyle w:val="Version"/>
        <w:sectPr w:rsidSect="006441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41A5" w:rsidP="006441A5">
      <w:pPr>
        <w:pStyle w:val="SuperHeading"/>
      </w:pPr>
      <w:r w:rsidRPr="006441A5">
        <w:t>TLID0014 Load and unload explosives/dangerous goods</w:t>
      </w:r>
    </w:p>
    <w:p w:rsidR="00000000" w:rsidRPr="006441A5" w:rsidP="006441A5">
      <w:pPr>
        <w:pStyle w:val="Heading1"/>
      </w:pPr>
      <w:bookmarkStart w:id="1" w:name="O_1192077"/>
      <w:bookmarkEnd w:id="1"/>
      <w:r w:rsidRPr="006441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1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 w:rsidP="006441A5">
            <w:pPr>
              <w:pStyle w:val="BodyText"/>
            </w:pPr>
            <w:r w:rsidRPr="006441A5">
              <w:rPr>
                <w:rStyle w:val="SpecialBold"/>
              </w:rPr>
              <w:t>Release 1.</w:t>
            </w:r>
            <w:r w:rsidRPr="006441A5">
              <w:t xml:space="preserve"> This is the first release of this unit of competency in the TLI Transport and Logistics Training Package.</w:t>
            </w:r>
          </w:p>
        </w:tc>
      </w:tr>
    </w:tbl>
    <w:p w:rsidR="00522F9B" w:rsidP="006441A5">
      <w:pPr>
        <w:pStyle w:val="NoPaddingFontSize1"/>
      </w:pPr>
    </w:p>
    <w:p w:rsidR="00522F9B" w:rsidP="006441A5">
      <w:pPr>
        <w:pStyle w:val="NoPaddingFontSize1"/>
      </w:pPr>
    </w:p>
    <w:p w:rsidR="00000000" w:rsidRPr="006441A5" w:rsidP="006441A5">
      <w:pPr>
        <w:pStyle w:val="Heading1"/>
      </w:pPr>
      <w:bookmarkStart w:id="2" w:name="O_1192078"/>
      <w:bookmarkEnd w:id="2"/>
      <w:r w:rsidRPr="006441A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1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 w:rsidP="006441A5">
            <w:pPr>
              <w:pStyle w:val="BodyText"/>
            </w:pPr>
            <w:r w:rsidRPr="006441A5">
              <w:t>This unit involves the skills and knowledge required to load and unload exp</w:t>
            </w:r>
            <w:r w:rsidRPr="006441A5">
              <w:t xml:space="preserve">losives and/or dangerous goods. </w:t>
            </w:r>
          </w:p>
          <w:p w:rsidR="00000000" w:rsidRPr="006441A5" w:rsidP="006441A5">
            <w:pPr>
              <w:pStyle w:val="BodyText"/>
            </w:pPr>
            <w:r w:rsidRPr="006441A5">
              <w:t>It includes identifying explosives and/or dangerous goods, loading and unloading explosives and/or dangerous goods using appropriate equipment, securing and protecting vehicle load, and checking vehicle to ensure load is se</w:t>
            </w:r>
            <w:r w:rsidRPr="006441A5">
              <w:t>cure and vehicle is marked in accordance with regulatory requirements in a range of operational situations, the relevant Australian and state and/or territory regulations, including current Australian Dangerous Goods (ADG) Code, current Australian Code for</w:t>
            </w:r>
            <w:r w:rsidRPr="006441A5">
              <w:t xml:space="preserve"> the Transport of Explosives by Road and Rail (AE Code), and mass and loading regulations.</w:t>
            </w:r>
          </w:p>
          <w:p w:rsidR="00000000" w:rsidRPr="006441A5" w:rsidP="006441A5">
            <w:pPr>
              <w:pStyle w:val="BodyText"/>
            </w:pPr>
            <w:r w:rsidRPr="006441A5">
              <w:t xml:space="preserve">Work is performed under limited or minimum supervision. </w:t>
            </w:r>
          </w:p>
          <w:p w:rsidR="00000000" w:rsidRPr="006441A5" w:rsidP="006441A5">
            <w:pPr>
              <w:pStyle w:val="BodyText"/>
            </w:pPr>
            <w:r w:rsidRPr="006441A5">
              <w:t>No licensing, legislative or certification requirements apply to this unit at the time of publication.</w:t>
            </w:r>
          </w:p>
        </w:tc>
      </w:tr>
    </w:tbl>
    <w:p w:rsidR="00522F9B" w:rsidP="006441A5">
      <w:pPr>
        <w:pStyle w:val="NoPaddingFontSize1"/>
      </w:pPr>
    </w:p>
    <w:p w:rsidR="00522F9B" w:rsidP="006441A5">
      <w:pPr>
        <w:pStyle w:val="NoPaddingFontSize1"/>
      </w:pPr>
    </w:p>
    <w:p w:rsidR="00000000" w:rsidRPr="006441A5" w:rsidP="006441A5">
      <w:pPr>
        <w:pStyle w:val="Heading1"/>
      </w:pPr>
      <w:bookmarkStart w:id="3" w:name="O_1192079"/>
      <w:bookmarkEnd w:id="3"/>
      <w:r w:rsidRPr="006441A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1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 w:rsidP="006441A5">
            <w:pPr>
              <w:pStyle w:val="BodyText"/>
            </w:pPr>
            <w:r w:rsidRPr="006441A5">
              <w:t>Not applicable.</w:t>
            </w:r>
          </w:p>
        </w:tc>
      </w:tr>
    </w:tbl>
    <w:p w:rsidR="00522F9B" w:rsidP="006441A5">
      <w:pPr>
        <w:pStyle w:val="NoPaddingFontSize1"/>
      </w:pPr>
    </w:p>
    <w:p w:rsidR="00522F9B" w:rsidP="006441A5">
      <w:pPr>
        <w:pStyle w:val="NoPaddingFontSize1"/>
      </w:pPr>
    </w:p>
    <w:p w:rsidR="00000000" w:rsidRPr="006441A5" w:rsidP="006441A5">
      <w:pPr>
        <w:pStyle w:val="Heading1"/>
      </w:pPr>
      <w:bookmarkStart w:id="4" w:name="O_1192080"/>
      <w:bookmarkEnd w:id="4"/>
      <w:r w:rsidRPr="006441A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1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 w:rsidP="006441A5">
            <w:pPr>
              <w:pStyle w:val="BodyText"/>
            </w:pPr>
            <w:r w:rsidRPr="006441A5">
              <w:t>D – Load Handling</w:t>
            </w:r>
          </w:p>
        </w:tc>
      </w:tr>
    </w:tbl>
    <w:p w:rsidR="00522F9B" w:rsidP="006441A5">
      <w:pPr>
        <w:pStyle w:val="NoPaddingFontSize1"/>
      </w:pPr>
    </w:p>
    <w:p w:rsidR="00522F9B" w:rsidP="006441A5">
      <w:pPr>
        <w:pStyle w:val="NoPaddingFontSize1"/>
      </w:pPr>
    </w:p>
    <w:p w:rsidR="00000000" w:rsidRPr="006441A5" w:rsidP="006441A5">
      <w:pPr>
        <w:pStyle w:val="Heading1"/>
      </w:pPr>
      <w:bookmarkStart w:id="5" w:name="O_1192081"/>
      <w:bookmarkEnd w:id="5"/>
      <w:r w:rsidRPr="006441A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1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 w:rsidP="006441A5">
            <w:pPr>
              <w:pStyle w:val="BodyText"/>
            </w:pPr>
            <w:r w:rsidRPr="006441A5">
              <w:t>Not applicable.</w:t>
            </w:r>
          </w:p>
        </w:tc>
      </w:tr>
    </w:tbl>
    <w:p w:rsidR="00522F9B" w:rsidP="006441A5">
      <w:pPr>
        <w:pStyle w:val="NoPaddingFontSize1"/>
      </w:pPr>
    </w:p>
    <w:p w:rsidR="00522F9B" w:rsidP="006441A5">
      <w:pPr>
        <w:pStyle w:val="NoPaddingFontSize1"/>
      </w:pPr>
    </w:p>
    <w:p w:rsidR="00000000" w:rsidRPr="006441A5" w:rsidP="006441A5">
      <w:pPr>
        <w:pStyle w:val="Heading1"/>
      </w:pPr>
      <w:bookmarkStart w:id="6" w:name="O_1192082"/>
      <w:bookmarkEnd w:id="6"/>
      <w:r w:rsidRPr="006441A5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2"/>
        <w:gridCol w:w="2248"/>
        <w:gridCol w:w="6"/>
        <w:gridCol w:w="448"/>
        <w:gridCol w:w="6386"/>
      </w:tblGrid>
      <w:tr w:rsidTr="006441A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 w:rsidP="006441A5">
            <w:pPr>
              <w:pStyle w:val="BodyText"/>
            </w:pPr>
            <w:r w:rsidRPr="006441A5">
              <w:rPr>
                <w:rStyle w:val="SpecialBold"/>
              </w:rPr>
              <w:t>ELEMENTS</w:t>
            </w:r>
          </w:p>
        </w:tc>
        <w:tc>
          <w:tcPr>
            <w:tcW w:w="68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rPr>
                <w:rStyle w:val="SpecialBold"/>
              </w:rPr>
              <w:t>PERFORMANCE CRITERIA</w:t>
            </w:r>
          </w:p>
        </w:tc>
      </w:tr>
      <w:tr w:rsidTr="006441A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t>Elements describe the essential outcomes.</w:t>
            </w:r>
          </w:p>
        </w:tc>
        <w:tc>
          <w:tcPr>
            <w:tcW w:w="68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t>Performance criteria describe the performance needed to demonstrate achievement of the element.</w:t>
            </w:r>
          </w:p>
        </w:tc>
      </w:tr>
      <w:tr w:rsidTr="006441A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 w:rsidP="006441A5">
            <w:pPr>
              <w:pStyle w:val="BodyText"/>
            </w:pPr>
            <w:r w:rsidRPr="006441A5">
              <w:rPr>
                <w:rStyle w:val="SpecialBold"/>
              </w:rPr>
              <w:t>1</w:t>
            </w:r>
          </w:p>
        </w:tc>
        <w:tc>
          <w:tcPr>
            <w:tcW w:w="225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 w:rsidP="006441A5">
            <w:pPr>
              <w:pStyle w:val="BodyText"/>
            </w:pPr>
            <w:r w:rsidRPr="006441A5">
              <w:rPr>
                <w:rStyle w:val="SpecialBold"/>
              </w:rPr>
              <w:t xml:space="preserve">Prepare to load and </w:t>
            </w:r>
            <w:r w:rsidRPr="006441A5">
              <w:rPr>
                <w:rStyle w:val="SpecialBold"/>
              </w:rPr>
              <w:t>unload vehicle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rPr>
                <w:rStyle w:val="SpecialBold"/>
              </w:rPr>
              <w:t>1.1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t xml:space="preserve">Explosives and/or dangerous goods are identified, and their </w:t>
            </w:r>
            <w:r w:rsidRPr="006441A5">
              <w:t>characteristic</w:t>
            </w:r>
            <w:r w:rsidRPr="006441A5">
              <w:t xml:space="preserve">s are taken into account in accordance with relevant emergency procedures when determining appropriate handling, loading and storage procedures </w:t>
            </w:r>
          </w:p>
        </w:tc>
      </w:tr>
      <w:tr w:rsidTr="006441A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>
            <w:pPr>
              <w:pStyle w:val="BodyText"/>
              <w:keepLines w:val="0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rPr>
                <w:rStyle w:val="SpecialBold"/>
              </w:rPr>
              <w:t>1.2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t>Job hazards are identified and required actions taken to minimise, control or eliminate identified hazar</w:t>
            </w:r>
            <w:r w:rsidRPr="006441A5">
              <w:t>ds</w:t>
            </w:r>
          </w:p>
        </w:tc>
      </w:tr>
      <w:tr w:rsidTr="006441A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>
            <w:pPr>
              <w:pStyle w:val="BodyText"/>
              <w:keepLines w:val="0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rPr>
                <w:rStyle w:val="SpecialBold"/>
              </w:rPr>
              <w:t>1.3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t>Compatibility of explosives and/or dangerous goods is taken into account when assembling and segregating cargo for loading</w:t>
            </w:r>
          </w:p>
        </w:tc>
      </w:tr>
      <w:tr w:rsidTr="006441A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>
            <w:pPr>
              <w:pStyle w:val="BodyText"/>
              <w:keepLines w:val="0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rPr>
                <w:rStyle w:val="SpecialBold"/>
              </w:rPr>
              <w:t>1.4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t>Check vehicle is suitable to transport explosives/dangerous goods according to ADG and/or AE Code</w:t>
            </w:r>
          </w:p>
        </w:tc>
      </w:tr>
      <w:tr w:rsidTr="006441A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>
            <w:pPr>
              <w:pStyle w:val="BodyText"/>
              <w:keepLines w:val="0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rPr>
                <w:rStyle w:val="SpecialBold"/>
              </w:rPr>
              <w:t>1.5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t>Vehicle and/or loading equipment is checked to ensure it is suitable to handle and/or carry load</w:t>
            </w:r>
          </w:p>
        </w:tc>
      </w:tr>
      <w:tr w:rsidTr="006441A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 w:rsidP="006441A5">
            <w:pPr>
              <w:pStyle w:val="BodyText"/>
            </w:pPr>
            <w:r w:rsidRPr="006441A5">
              <w:rPr>
                <w:rStyle w:val="SpecialBold"/>
              </w:rPr>
              <w:t>2</w:t>
            </w:r>
          </w:p>
        </w:tc>
        <w:tc>
          <w:tcPr>
            <w:tcW w:w="225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 w:rsidP="006441A5">
            <w:pPr>
              <w:pStyle w:val="BodyText"/>
            </w:pPr>
            <w:r w:rsidRPr="006441A5">
              <w:rPr>
                <w:rStyle w:val="SpecialBold"/>
              </w:rPr>
              <w:t>Load/unload vehicle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rPr>
                <w:rStyle w:val="SpecialBold"/>
              </w:rPr>
              <w:t>2.1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t>Vehicle is loaded/unloaded in accordance with workplace procedures and current ADG and/or AE Code, as required</w:t>
            </w:r>
          </w:p>
        </w:tc>
      </w:tr>
      <w:tr w:rsidTr="006441A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>
            <w:pPr>
              <w:pStyle w:val="BodyText"/>
              <w:keepLines w:val="0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rPr>
                <w:rStyle w:val="SpecialBold"/>
              </w:rPr>
              <w:t>2.2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t>Load is segregated according to class and subsidiary risk, and load distribution is checked in accordance with workplace procedures, relevant mass and loading regulations, and current ADG and/or AE Code, as required</w:t>
            </w:r>
          </w:p>
        </w:tc>
      </w:tr>
      <w:tr w:rsidTr="006441A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>
            <w:pPr>
              <w:pStyle w:val="BodyText"/>
              <w:keepLines w:val="0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rPr>
                <w:rStyle w:val="SpecialBold"/>
              </w:rPr>
              <w:t>2.3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t>Personal protective equipment (PP</w:t>
            </w:r>
            <w:r w:rsidRPr="006441A5">
              <w:t>E) is used during loading/unloading operations, as required, for type of explosives and/or dangerous goods concerned</w:t>
            </w:r>
          </w:p>
        </w:tc>
      </w:tr>
      <w:tr w:rsidTr="006441A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>
            <w:pPr>
              <w:pStyle w:val="BodyText"/>
              <w:keepLines w:val="0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rPr>
                <w:rStyle w:val="SpecialBold"/>
              </w:rPr>
              <w:t>2.4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t>Emergency procedures are followed in an incident or accident when loading or unloading explosives and/or dangerous goods</w:t>
            </w:r>
          </w:p>
        </w:tc>
      </w:tr>
      <w:tr w:rsidTr="006441A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 w:rsidP="006441A5">
            <w:pPr>
              <w:pStyle w:val="BodyText"/>
            </w:pPr>
            <w:r w:rsidRPr="006441A5">
              <w:rPr>
                <w:rStyle w:val="SpecialBold"/>
              </w:rPr>
              <w:t>3</w:t>
            </w:r>
          </w:p>
        </w:tc>
        <w:tc>
          <w:tcPr>
            <w:tcW w:w="225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 w:rsidP="006441A5">
            <w:pPr>
              <w:pStyle w:val="BodyText"/>
            </w:pPr>
            <w:r w:rsidRPr="006441A5">
              <w:rPr>
                <w:rStyle w:val="SpecialBold"/>
              </w:rPr>
              <w:t>Secure and protect vehicle load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rPr>
                <w:rStyle w:val="SpecialBold"/>
              </w:rPr>
              <w:t>3.1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t>Vehicle load is secured using correct load restraint and protection equipment for different loads, vehicles and carriage conditions concerned</w:t>
            </w:r>
          </w:p>
        </w:tc>
      </w:tr>
      <w:tr w:rsidTr="006441A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>
            <w:pPr>
              <w:pStyle w:val="BodyText"/>
              <w:keepLines w:val="0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rPr>
                <w:rStyle w:val="SpecialBold"/>
              </w:rPr>
              <w:t>3.2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t>Load is protected in accordance with legal and workplace safety require</w:t>
            </w:r>
            <w:r w:rsidRPr="006441A5">
              <w:t>ments</w:t>
            </w:r>
          </w:p>
        </w:tc>
      </w:tr>
      <w:tr w:rsidTr="006441A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>
            <w:pPr>
              <w:pStyle w:val="BodyText"/>
              <w:keepLines w:val="0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rPr>
                <w:rStyle w:val="SpecialBold"/>
              </w:rPr>
              <w:t>3.3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t>Load distribution is checked to ensure it is even, legal and within safe working capacity of vehicle</w:t>
            </w:r>
          </w:p>
        </w:tc>
      </w:tr>
      <w:tr w:rsidTr="006441A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>
            <w:pPr>
              <w:pStyle w:val="BodyText"/>
              <w:keepLines w:val="0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rPr>
                <w:rStyle w:val="SpecialBold"/>
              </w:rPr>
              <w:t>3.4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t>Vehicle is clearly marked and/or placarded to indicate carriage of explosives and/or dangerous goods in accordance with government regulations and workplace procedures</w:t>
            </w:r>
          </w:p>
        </w:tc>
      </w:tr>
      <w:tr w:rsidTr="006441A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 w:rsidP="006441A5">
            <w:pPr>
              <w:pStyle w:val="BodyText"/>
            </w:pPr>
            <w:r w:rsidRPr="006441A5">
              <w:rPr>
                <w:rStyle w:val="SpecialBold"/>
              </w:rPr>
              <w:t>4</w:t>
            </w:r>
          </w:p>
        </w:tc>
        <w:tc>
          <w:tcPr>
            <w:tcW w:w="225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 w:rsidP="006441A5">
            <w:pPr>
              <w:pStyle w:val="BodyText"/>
            </w:pPr>
            <w:r w:rsidRPr="006441A5">
              <w:rPr>
                <w:rStyle w:val="SpecialBold"/>
              </w:rPr>
              <w:t>Check vehicle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rPr>
                <w:rStyle w:val="SpecialBold"/>
              </w:rPr>
              <w:t>4.1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t>Loaded vehicle is inspected and checked to ensure load weight and d</w:t>
            </w:r>
            <w:r w:rsidRPr="006441A5">
              <w:t>imensions are within vehicle safe carrying capacity and equipment capability</w:t>
            </w:r>
          </w:p>
        </w:tc>
      </w:tr>
      <w:tr w:rsidTr="006441A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>
            <w:pPr>
              <w:pStyle w:val="BodyText"/>
              <w:keepLines w:val="0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rPr>
                <w:rStyle w:val="SpecialBold"/>
              </w:rPr>
              <w:t>4.2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t xml:space="preserve">Loaded vehicle is checked to ensure it can be safely parked and </w:t>
            </w:r>
            <w:r w:rsidRPr="006441A5">
              <w:t>secured</w:t>
            </w:r>
          </w:p>
        </w:tc>
      </w:tr>
      <w:tr w:rsidTr="006441A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>
            <w:pPr>
              <w:pStyle w:val="BodyText"/>
              <w:keepLines w:val="0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A5">
            <w:pPr>
              <w:pStyle w:val="BodyText"/>
              <w:rPr>
                <w:lang w:val="en-NZ"/>
              </w:rPr>
            </w:pPr>
            <w:r w:rsidRPr="006441A5">
              <w:rPr>
                <w:rStyle w:val="SpecialBold"/>
              </w:rPr>
              <w:t>4.3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 w:rsidP="006441A5">
            <w:pPr>
              <w:pStyle w:val="BodyText"/>
            </w:pPr>
            <w:r w:rsidRPr="006441A5">
              <w:t>Dangerous goods declaration and required transportation documentation for cargo is completed in accordance with workplace procedures and regulatory requirements</w:t>
            </w:r>
          </w:p>
        </w:tc>
      </w:tr>
    </w:tbl>
    <w:p w:rsidR="00522F9B" w:rsidP="006441A5">
      <w:pPr>
        <w:pStyle w:val="NoPaddingFontSize1"/>
      </w:pPr>
    </w:p>
    <w:p w:rsidR="00522F9B" w:rsidP="006441A5">
      <w:pPr>
        <w:pStyle w:val="NoPaddingFontSize1"/>
      </w:pPr>
    </w:p>
    <w:p w:rsidR="00000000" w:rsidRPr="006441A5" w:rsidP="006441A5">
      <w:pPr>
        <w:pStyle w:val="Heading1"/>
      </w:pPr>
      <w:bookmarkStart w:id="7" w:name="O_1192083"/>
      <w:bookmarkEnd w:id="7"/>
      <w:r w:rsidRPr="006441A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1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 w:rsidP="006441A5">
            <w:pPr>
              <w:pStyle w:val="BodyText"/>
            </w:pPr>
            <w:r w:rsidRPr="006441A5">
              <w:t>Foundation skills essential to performance are explicit</w:t>
            </w:r>
            <w:r w:rsidRPr="006441A5">
              <w:t xml:space="preserve"> in the performance criteria of this unit of competency.</w:t>
            </w:r>
          </w:p>
        </w:tc>
      </w:tr>
    </w:tbl>
    <w:p w:rsidR="00522F9B" w:rsidP="006441A5">
      <w:pPr>
        <w:pStyle w:val="NoPaddingFontSize1"/>
      </w:pPr>
    </w:p>
    <w:p w:rsidR="00522F9B" w:rsidP="006441A5">
      <w:pPr>
        <w:pStyle w:val="NoPaddingFontSize1"/>
      </w:pPr>
    </w:p>
    <w:p w:rsidR="00000000" w:rsidRPr="006441A5" w:rsidP="006441A5">
      <w:pPr>
        <w:pStyle w:val="Heading1"/>
      </w:pPr>
      <w:bookmarkStart w:id="8" w:name="O_1192084"/>
      <w:bookmarkEnd w:id="8"/>
      <w:r w:rsidRPr="006441A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1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 w:rsidP="006441A5">
            <w:pPr>
              <w:pStyle w:val="BodyText"/>
            </w:pPr>
            <w:r w:rsidRPr="006441A5">
              <w:t>Range is restricted to essential operating conditions and any other variables essential to the work environment.</w:t>
            </w:r>
          </w:p>
          <w:p w:rsidR="00000000" w:rsidRPr="006441A5" w:rsidP="006441A5">
            <w:pPr>
              <w:pStyle w:val="BodyText"/>
            </w:pPr>
            <w:r w:rsidRPr="006441A5">
              <w:t>Non-essential conditions can be found in the TLI Transport and Logistics Training Package Companion Volume Implementation Guide.</w:t>
            </w:r>
          </w:p>
        </w:tc>
      </w:tr>
    </w:tbl>
    <w:p w:rsidR="00522F9B" w:rsidP="006441A5">
      <w:pPr>
        <w:pStyle w:val="NoPaddingFontSize1"/>
      </w:pPr>
    </w:p>
    <w:p w:rsidR="00522F9B" w:rsidP="006441A5">
      <w:pPr>
        <w:pStyle w:val="NoPaddingFontSize1"/>
      </w:pPr>
    </w:p>
    <w:p w:rsidR="00000000" w:rsidRPr="006441A5" w:rsidP="006441A5">
      <w:pPr>
        <w:pStyle w:val="Heading1"/>
      </w:pPr>
      <w:bookmarkStart w:id="9" w:name="O_1192085"/>
      <w:bookmarkEnd w:id="9"/>
      <w:r w:rsidRPr="006441A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1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A5" w:rsidP="006441A5">
            <w:pPr>
              <w:pStyle w:val="BodyText"/>
            </w:pPr>
            <w:r w:rsidRPr="006441A5">
              <w:t>This unit replaces and is equivalent to TLID2016 Load and unload explosives/dang</w:t>
            </w:r>
            <w:r w:rsidRPr="006441A5">
              <w:t>erous goods.</w:t>
            </w:r>
          </w:p>
        </w:tc>
      </w:tr>
    </w:tbl>
    <w:p w:rsidR="00522F9B" w:rsidP="006441A5">
      <w:pPr>
        <w:pStyle w:val="NoPaddingFontSize1"/>
      </w:pPr>
    </w:p>
    <w:p w:rsidR="00522F9B" w:rsidP="006441A5">
      <w:pPr>
        <w:pStyle w:val="NoPaddingFontSize1"/>
      </w:pPr>
    </w:p>
    <w:p w:rsidR="00000000" w:rsidRPr="006441A5" w:rsidP="006441A5">
      <w:pPr>
        <w:pStyle w:val="Heading1"/>
      </w:pPr>
      <w:bookmarkStart w:id="10" w:name="O_1192092"/>
      <w:bookmarkEnd w:id="10"/>
      <w:r w:rsidRPr="006441A5">
        <w:t>Links</w:t>
      </w:r>
    </w:p>
    <w:p w:rsidR="00000000" w:rsidRPr="006441A5" w:rsidP="00522F9B">
      <w:pPr>
        <w:pStyle w:val="BodyText"/>
      </w:pPr>
      <w:r w:rsidRPr="006441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E467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441A5" w:rsidP="006441A5"/>
    <w:sectPr w:rsidSect="006441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1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1A5" w:rsidRPr="00522F9B" w:rsidP="00522F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1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F9B" w:rsidP="006441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2F9B" w:rsidP="006441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22F9B" w:rsidP="006441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1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F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1A5" w:rsidRPr="00522F9B" w:rsidP="00522F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1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F9B" w:rsidRPr="002D2AF8" w:rsidP="006441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TLID0014 Load and unload explosives/dangerous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22F9B" w:rsidP="006441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1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1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1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1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1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1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1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1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1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1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1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1A5"/>
  </w:style>
  <w:style w:type="character" w:customStyle="1" w:styleId="Heading1Char">
    <w:name w:val="Heading 1 Char"/>
    <w:basedOn w:val="DefaultParagraphFont"/>
    <w:link w:val="Heading1"/>
    <w:rsid w:val="006441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1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1A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41A5"/>
    <w:rPr>
      <w:b/>
      <w:spacing w:val="0"/>
    </w:rPr>
  </w:style>
  <w:style w:type="paragraph" w:customStyle="1" w:styleId="SuperHeading">
    <w:name w:val="SuperHeading"/>
    <w:basedOn w:val="Normal"/>
    <w:rsid w:val="006441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1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41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1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1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1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1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1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1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1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1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1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1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1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1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1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1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1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1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1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1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41A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41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41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1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1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41A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41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1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1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1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1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1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1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1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1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41A5"/>
    <w:rPr>
      <w:i/>
    </w:rPr>
  </w:style>
  <w:style w:type="paragraph" w:styleId="Caption">
    <w:name w:val="caption"/>
    <w:basedOn w:val="BodyText"/>
    <w:next w:val="Normal"/>
    <w:qFormat/>
    <w:rsid w:val="006441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1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1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1A5"/>
  </w:style>
  <w:style w:type="paragraph" w:styleId="TableofFigures">
    <w:name w:val="table of figures"/>
    <w:basedOn w:val="Normal"/>
    <w:next w:val="Normal"/>
    <w:semiHidden/>
    <w:rsid w:val="006441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1A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41A5"/>
    <w:rPr>
      <w:rFonts w:ascii="Wingdings" w:hAnsi="Wingdings"/>
    </w:rPr>
  </w:style>
  <w:style w:type="paragraph" w:customStyle="1" w:styleId="TableHeading">
    <w:name w:val="Table Heading"/>
    <w:basedOn w:val="HeadingBase"/>
    <w:rsid w:val="006441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1A5"/>
    <w:rPr>
      <w:color w:val="0033CC"/>
      <w:u w:val="none"/>
    </w:rPr>
  </w:style>
  <w:style w:type="paragraph" w:customStyle="1" w:styleId="BodyTextRight">
    <w:name w:val="Body Text Right"/>
    <w:basedOn w:val="BodyText"/>
    <w:rsid w:val="006441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1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1A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1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1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1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1A5"/>
    <w:rPr>
      <w:sz w:val="32"/>
    </w:rPr>
  </w:style>
  <w:style w:type="paragraph" w:customStyle="1" w:styleId="HeadingProcedure">
    <w:name w:val="Heading Procedure"/>
    <w:basedOn w:val="HeadingBase"/>
    <w:next w:val="Normal"/>
    <w:rsid w:val="006441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1A5"/>
    <w:pPr>
      <w:spacing w:before="60" w:after="60"/>
    </w:pPr>
  </w:style>
  <w:style w:type="paragraph" w:styleId="ListContinue">
    <w:name w:val="List Continue"/>
    <w:basedOn w:val="List"/>
    <w:rsid w:val="006441A5"/>
    <w:pPr>
      <w:ind w:firstLine="0"/>
    </w:pPr>
  </w:style>
  <w:style w:type="paragraph" w:customStyle="1" w:styleId="ListNote">
    <w:name w:val="List Note"/>
    <w:basedOn w:val="List"/>
    <w:rsid w:val="006441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1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1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1A5"/>
    <w:rPr>
      <w:rFonts w:ascii="Courier New" w:hAnsi="Courier New"/>
    </w:rPr>
  </w:style>
  <w:style w:type="paragraph" w:customStyle="1" w:styleId="NoteBullet">
    <w:name w:val="Note Bullet"/>
    <w:basedOn w:val="Note"/>
    <w:rsid w:val="006441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1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1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1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1A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41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1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1A5"/>
    <w:rPr>
      <w:b/>
      <w:smallCaps/>
    </w:rPr>
  </w:style>
  <w:style w:type="paragraph" w:customStyle="1" w:styleId="TableListNumber">
    <w:name w:val="Table List Number"/>
    <w:basedOn w:val="ListNumber"/>
    <w:rsid w:val="006441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1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1A5"/>
    <w:pPr>
      <w:numPr>
        <w:numId w:val="7"/>
      </w:numPr>
    </w:pPr>
  </w:style>
  <w:style w:type="paragraph" w:customStyle="1" w:styleId="ListAlpha2">
    <w:name w:val="List Alpha 2"/>
    <w:basedOn w:val="List2"/>
    <w:rsid w:val="006441A5"/>
    <w:pPr>
      <w:numPr>
        <w:numId w:val="6"/>
      </w:numPr>
    </w:pPr>
  </w:style>
  <w:style w:type="paragraph" w:styleId="List2">
    <w:name w:val="List 2"/>
    <w:basedOn w:val="BodyText"/>
    <w:rsid w:val="006441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1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1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1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1A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1A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41A5"/>
    <w:pPr>
      <w:numPr>
        <w:numId w:val="2"/>
      </w:numPr>
    </w:pPr>
  </w:style>
  <w:style w:type="paragraph" w:styleId="ListContinue2">
    <w:name w:val="List Continue 2"/>
    <w:basedOn w:val="List2"/>
    <w:rsid w:val="006441A5"/>
    <w:pPr>
      <w:ind w:firstLine="0"/>
    </w:pPr>
  </w:style>
  <w:style w:type="paragraph" w:styleId="ListContinue3">
    <w:name w:val="List Continue 3"/>
    <w:basedOn w:val="List3"/>
    <w:rsid w:val="006441A5"/>
    <w:pPr>
      <w:ind w:left="1021" w:firstLine="0"/>
    </w:pPr>
  </w:style>
  <w:style w:type="paragraph" w:styleId="ListContinue4">
    <w:name w:val="List Continue 4"/>
    <w:basedOn w:val="List4"/>
    <w:rsid w:val="006441A5"/>
    <w:pPr>
      <w:ind w:firstLine="0"/>
    </w:pPr>
  </w:style>
  <w:style w:type="paragraph" w:styleId="ListContinue5">
    <w:name w:val="List Continue 5"/>
    <w:basedOn w:val="List5"/>
    <w:rsid w:val="006441A5"/>
    <w:pPr>
      <w:ind w:firstLine="0"/>
    </w:pPr>
  </w:style>
  <w:style w:type="paragraph" w:styleId="ListNumber3">
    <w:name w:val="List Number 3"/>
    <w:basedOn w:val="List3"/>
    <w:rsid w:val="006441A5"/>
    <w:pPr>
      <w:numPr>
        <w:numId w:val="3"/>
      </w:numPr>
    </w:pPr>
  </w:style>
  <w:style w:type="paragraph" w:styleId="ListNumber4">
    <w:name w:val="List Number 4"/>
    <w:basedOn w:val="List4"/>
    <w:rsid w:val="006441A5"/>
    <w:pPr>
      <w:numPr>
        <w:numId w:val="4"/>
      </w:numPr>
    </w:pPr>
  </w:style>
  <w:style w:type="paragraph" w:styleId="ListNumber5">
    <w:name w:val="List Number 5"/>
    <w:basedOn w:val="List5"/>
    <w:rsid w:val="006441A5"/>
    <w:pPr>
      <w:numPr>
        <w:numId w:val="5"/>
      </w:numPr>
    </w:pPr>
  </w:style>
  <w:style w:type="paragraph" w:styleId="BlockText">
    <w:name w:val="Block Text"/>
    <w:basedOn w:val="Normal"/>
    <w:rsid w:val="006441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1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1A5"/>
    <w:rPr>
      <w:sz w:val="16"/>
      <w:vertAlign w:val="superscript"/>
    </w:rPr>
  </w:style>
  <w:style w:type="character" w:customStyle="1" w:styleId="Symbols">
    <w:name w:val="Symbols"/>
    <w:basedOn w:val="DefaultParagraphFont"/>
    <w:rsid w:val="006441A5"/>
    <w:rPr>
      <w:rFonts w:ascii="Symbol" w:hAnsi="Symbol"/>
    </w:rPr>
  </w:style>
  <w:style w:type="character" w:customStyle="1" w:styleId="MenuOptions">
    <w:name w:val="Menu Options"/>
    <w:basedOn w:val="DefaultParagraphFont"/>
    <w:rsid w:val="006441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1A5"/>
    <w:rPr>
      <w:b/>
    </w:rPr>
  </w:style>
  <w:style w:type="character" w:customStyle="1" w:styleId="Underlined">
    <w:name w:val="Underlined"/>
    <w:basedOn w:val="DefaultParagraphFont"/>
    <w:rsid w:val="006441A5"/>
    <w:rPr>
      <w:u w:val="single"/>
    </w:rPr>
  </w:style>
  <w:style w:type="paragraph" w:customStyle="1" w:styleId="TableBodyTextRight">
    <w:name w:val="Table Body Text Right"/>
    <w:basedOn w:val="TableBodyText"/>
    <w:rsid w:val="006441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1A5"/>
    <w:rPr>
      <w:sz w:val="18"/>
    </w:rPr>
  </w:style>
  <w:style w:type="paragraph" w:customStyle="1" w:styleId="BodySmallRight">
    <w:name w:val="Body Small Right"/>
    <w:basedOn w:val="BodyTextRight"/>
    <w:rsid w:val="006441A5"/>
    <w:rPr>
      <w:sz w:val="18"/>
      <w:szCs w:val="18"/>
    </w:rPr>
  </w:style>
  <w:style w:type="paragraph" w:customStyle="1" w:styleId="MarginEdition">
    <w:name w:val="Margin Edition"/>
    <w:basedOn w:val="MarginNote"/>
    <w:rsid w:val="006441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1A5"/>
    <w:rPr>
      <w:sz w:val="2"/>
      <w:szCs w:val="2"/>
    </w:rPr>
  </w:style>
  <w:style w:type="character" w:customStyle="1" w:styleId="Small">
    <w:name w:val="Small"/>
    <w:basedOn w:val="DefaultParagraphFont"/>
    <w:rsid w:val="006441A5"/>
    <w:rPr>
      <w:sz w:val="16"/>
    </w:rPr>
  </w:style>
  <w:style w:type="paragraph" w:customStyle="1" w:styleId="WideTable">
    <w:name w:val="Wide Table"/>
    <w:basedOn w:val="Normal"/>
    <w:rsid w:val="006441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1A5"/>
  </w:style>
  <w:style w:type="paragraph" w:styleId="Quote">
    <w:name w:val="Quote"/>
    <w:basedOn w:val="Heading1"/>
    <w:link w:val="QuoteChar"/>
    <w:qFormat/>
    <w:rsid w:val="006441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1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1A5"/>
    <w:pPr>
      <w:pageBreakBefore/>
    </w:pPr>
  </w:style>
  <w:style w:type="paragraph" w:customStyle="1" w:styleId="Border">
    <w:name w:val="Border"/>
    <w:basedOn w:val="Normal"/>
    <w:qFormat/>
    <w:rsid w:val="006441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1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1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1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1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1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1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1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1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1A5"/>
    <w:rPr>
      <w:u w:val="single"/>
    </w:rPr>
  </w:style>
  <w:style w:type="character" w:customStyle="1" w:styleId="BoldandItalics">
    <w:name w:val="Bold and Italics"/>
    <w:qFormat/>
    <w:rsid w:val="006441A5"/>
    <w:rPr>
      <w:b/>
      <w:i/>
      <w:u w:val="none"/>
    </w:rPr>
  </w:style>
  <w:style w:type="paragraph" w:styleId="BalloonText">
    <w:name w:val="Balloon Text"/>
    <w:basedOn w:val="Normal"/>
    <w:link w:val="BalloonTextChar"/>
    <w:rsid w:val="006441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1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1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1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1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1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1A5"/>
    <w:pPr>
      <w:spacing w:before="0" w:after="0"/>
    </w:pPr>
  </w:style>
  <w:style w:type="paragraph" w:customStyle="1" w:styleId="BodyTextBold">
    <w:name w:val="Body Text Bold"/>
    <w:basedOn w:val="BodyText"/>
    <w:qFormat/>
    <w:rsid w:val="006441A5"/>
    <w:rPr>
      <w:b/>
    </w:rPr>
  </w:style>
  <w:style w:type="character" w:styleId="Hyperlink">
    <w:name w:val="Hyperlink"/>
    <w:basedOn w:val="DefaultParagraphFont"/>
    <w:uiPriority w:val="99"/>
    <w:unhideWhenUsed/>
    <w:rsid w:val="00522F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3947</Characters>
  <Application>Microsoft Office Word</Application>
  <DocSecurity>0</DocSecurity>
  <Lines>164</Lines>
  <Paragraphs>84</Paragraphs>
  <ScaleCrop>false</ScaleCrop>
  <Company>Author-it Software Corporation Ltd.</Company>
  <LinksUpToDate>false</LinksUpToDate>
  <CharactersWithSpaces>4500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TLID0014 Load and unload explosives/dangerous goods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2024-11-07T12:03:00Z</dcterms:created>
  <dcterms:modified xsi:type="dcterms:W3CDTF">2024-11-07T12:03:00Z</dcterms:modified>
</cp:coreProperties>
</file>