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2A6E" w:rsidP="00E12A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TLID0011 Use bulk transfer equipment (dry)</w:t>
      </w:r>
      <w:r>
        <w:fldChar w:fldCharType="end"/>
      </w:r>
    </w:p>
    <w:p w:rsidR="00E12A6E" w:rsidP="00E12A6E">
      <w:pPr>
        <w:pStyle w:val="Version"/>
        <w:sectPr w:rsidSect="00D66D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6D89" w:rsidP="00D66D89">
      <w:pPr>
        <w:pStyle w:val="SuperHeading"/>
      </w:pPr>
      <w:r w:rsidRPr="00D66D89">
        <w:t>TLID0011 Use bulk transfer equipment (dry)</w:t>
      </w:r>
    </w:p>
    <w:p w:rsidR="00000000" w:rsidRPr="00D66D89" w:rsidP="00D66D89">
      <w:pPr>
        <w:pStyle w:val="Heading1"/>
      </w:pPr>
      <w:bookmarkStart w:id="1" w:name="O_1066976"/>
      <w:bookmarkEnd w:id="1"/>
      <w:r w:rsidRPr="00D66D8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6D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D89" w:rsidP="00D66D89">
            <w:pPr>
              <w:pStyle w:val="BodyText"/>
            </w:pPr>
            <w:r w:rsidRPr="00D66D89">
              <w:rPr>
                <w:rStyle w:val="SpecialBold"/>
              </w:rPr>
              <w:t xml:space="preserve">Release 1. </w:t>
            </w:r>
            <w:r w:rsidRPr="00D66D89">
              <w:t>This is the first release of this unit of competency in the TLI Transport and Logistics Training Package.</w:t>
            </w:r>
          </w:p>
        </w:tc>
      </w:tr>
    </w:tbl>
    <w:p w:rsidR="00000000" w:rsidRPr="00D66D89" w:rsidP="00D66D89">
      <w:pPr>
        <w:pStyle w:val="NoPaddingFontSize1"/>
      </w:pPr>
    </w:p>
    <w:p w:rsidR="00000000" w:rsidRPr="00D66D89" w:rsidP="00D66D89">
      <w:pPr>
        <w:pStyle w:val="AllowPageBreak"/>
      </w:pPr>
    </w:p>
    <w:p w:rsidR="00000000" w:rsidRPr="00D66D89" w:rsidP="00D66D89">
      <w:pPr>
        <w:pStyle w:val="Heading1"/>
      </w:pPr>
      <w:bookmarkStart w:id="2" w:name="O_1066977"/>
      <w:bookmarkEnd w:id="2"/>
      <w:r w:rsidRPr="00D66D8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6D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D89" w:rsidP="00D66D89">
            <w:pPr>
              <w:pStyle w:val="BodyText"/>
            </w:pPr>
            <w:r w:rsidRPr="00D66D89">
              <w:t>This unit involves the skills and knowledge required to use bulk transfer equipment f</w:t>
            </w:r>
            <w:r w:rsidRPr="00D66D89">
              <w:t>or dry products in accordance with relevant state/territory regulations.</w:t>
            </w:r>
          </w:p>
          <w:p w:rsidR="00000000" w:rsidRPr="00D66D89" w:rsidP="00D66D89">
            <w:pPr>
              <w:pStyle w:val="BodyText"/>
            </w:pPr>
            <w:r w:rsidRPr="00D66D89">
              <w:t>It includes planning work, transferring product, monitoring and operating controls, and completing all operations, as required.</w:t>
            </w:r>
          </w:p>
          <w:p w:rsidR="00000000" w:rsidRPr="00D66D89" w:rsidP="00D66D89">
            <w:pPr>
              <w:pStyle w:val="BodyText"/>
            </w:pPr>
            <w:r w:rsidRPr="00D66D89">
              <w:t>Work is performed under general supervision.</w:t>
            </w:r>
          </w:p>
          <w:p w:rsidR="00000000" w:rsidRPr="00D66D89" w:rsidP="00D66D89">
            <w:pPr>
              <w:pStyle w:val="BodyText"/>
            </w:pPr>
            <w:r w:rsidRPr="00D66D89">
              <w:t>No licensi</w:t>
            </w:r>
            <w:r w:rsidRPr="00D66D89">
              <w:t>ng, legislative or certification requirements apply to this unit at the time of publication.</w:t>
            </w:r>
          </w:p>
        </w:tc>
      </w:tr>
    </w:tbl>
    <w:p w:rsidR="00000000" w:rsidRPr="00D66D89" w:rsidP="00D66D89">
      <w:pPr>
        <w:pStyle w:val="NoPaddingFontSize1"/>
      </w:pPr>
    </w:p>
    <w:p w:rsidR="00000000" w:rsidRPr="00D66D89" w:rsidP="00D66D89">
      <w:pPr>
        <w:pStyle w:val="AllowPageBreak"/>
      </w:pPr>
    </w:p>
    <w:p w:rsidR="00000000" w:rsidRPr="00D66D89" w:rsidP="00D66D89">
      <w:pPr>
        <w:pStyle w:val="Heading1"/>
      </w:pPr>
      <w:bookmarkStart w:id="3" w:name="O_1066978"/>
      <w:bookmarkEnd w:id="3"/>
      <w:r w:rsidRPr="00D66D8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6D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D89" w:rsidP="00D66D89">
            <w:pPr>
              <w:pStyle w:val="BodyText"/>
            </w:pPr>
            <w:r w:rsidRPr="00D66D89">
              <w:t>Not applicable.</w:t>
            </w:r>
          </w:p>
        </w:tc>
      </w:tr>
    </w:tbl>
    <w:p w:rsidR="00000000" w:rsidRPr="00D66D89" w:rsidP="00D66D89">
      <w:pPr>
        <w:pStyle w:val="NoPaddingFontSize1"/>
      </w:pPr>
    </w:p>
    <w:p w:rsidR="00000000" w:rsidRPr="00D66D89" w:rsidP="00D66D89">
      <w:pPr>
        <w:pStyle w:val="AllowPageBreak"/>
      </w:pPr>
    </w:p>
    <w:p w:rsidR="00000000" w:rsidRPr="00D66D89" w:rsidP="00D66D89">
      <w:pPr>
        <w:pStyle w:val="Heading1"/>
      </w:pPr>
      <w:bookmarkStart w:id="4" w:name="O_1066979"/>
      <w:bookmarkEnd w:id="4"/>
      <w:r w:rsidRPr="00D66D8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6D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D89" w:rsidP="00D66D89">
            <w:pPr>
              <w:pStyle w:val="BodyText"/>
            </w:pPr>
            <w:r w:rsidRPr="00D66D89">
              <w:t>D – Load Handling</w:t>
            </w:r>
          </w:p>
        </w:tc>
      </w:tr>
    </w:tbl>
    <w:p w:rsidR="00000000" w:rsidRPr="00D66D89" w:rsidP="00D66D89">
      <w:pPr>
        <w:pStyle w:val="NoPaddingFontSize1"/>
      </w:pPr>
    </w:p>
    <w:p w:rsidR="00000000" w:rsidRPr="00D66D89" w:rsidP="00D66D89">
      <w:pPr>
        <w:pStyle w:val="AllowPageBreak"/>
      </w:pPr>
    </w:p>
    <w:p w:rsidR="00000000" w:rsidRPr="00D66D89" w:rsidP="00D66D89">
      <w:pPr>
        <w:pStyle w:val="Heading1"/>
      </w:pPr>
      <w:bookmarkStart w:id="5" w:name="O_1066980"/>
      <w:bookmarkEnd w:id="5"/>
      <w:r w:rsidRPr="00D66D8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6D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D89" w:rsidP="00D66D89">
            <w:pPr>
              <w:pStyle w:val="BodyText"/>
            </w:pPr>
            <w:r w:rsidRPr="00D66D89">
              <w:t>Not applicable.</w:t>
            </w:r>
          </w:p>
        </w:tc>
      </w:tr>
    </w:tbl>
    <w:p w:rsidR="00000000" w:rsidRPr="00D66D89" w:rsidP="00D66D89">
      <w:pPr>
        <w:pStyle w:val="NoPaddingFontSize1"/>
      </w:pPr>
    </w:p>
    <w:p w:rsidR="00000000" w:rsidRPr="00D66D89" w:rsidP="00D66D89">
      <w:pPr>
        <w:pStyle w:val="AllowPageBreak"/>
      </w:pPr>
    </w:p>
    <w:p w:rsidR="00000000" w:rsidRPr="00D66D89" w:rsidP="00D66D89">
      <w:pPr>
        <w:pStyle w:val="Heading1"/>
      </w:pPr>
      <w:bookmarkStart w:id="6" w:name="O_1066981"/>
      <w:bookmarkEnd w:id="6"/>
      <w:r w:rsidRPr="00D66D8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66D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89">
            <w:pPr>
              <w:pStyle w:val="BodyText"/>
              <w:rPr>
                <w:lang w:val="en-NZ"/>
              </w:rPr>
            </w:pPr>
            <w:r w:rsidRPr="00D66D89"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89">
            <w:pPr>
              <w:pStyle w:val="BodyText"/>
              <w:rPr>
                <w:lang w:val="en-NZ"/>
              </w:rPr>
            </w:pPr>
            <w:r w:rsidRPr="00D66D89">
              <w:t>PERFORMANCE CRITERIA</w:t>
            </w:r>
          </w:p>
        </w:tc>
      </w:tr>
      <w:tr w:rsidTr="00D66D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89">
            <w:pPr>
              <w:pStyle w:val="BodyText"/>
              <w:rPr>
                <w:lang w:val="en-NZ"/>
              </w:rPr>
            </w:pPr>
            <w:r w:rsidRPr="00D66D8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89">
            <w:pPr>
              <w:pStyle w:val="BodyText"/>
              <w:rPr>
                <w:lang w:val="en-NZ"/>
              </w:rPr>
            </w:pPr>
            <w:r w:rsidRPr="00D66D89">
              <w:t>Performance criteria describe the performance needed to demonstrate achievement of the element.</w:t>
            </w:r>
          </w:p>
        </w:tc>
      </w:tr>
      <w:tr w:rsidTr="00D66D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D89" w:rsidP="00D66D89">
            <w:pPr>
              <w:pStyle w:val="BodyText"/>
            </w:pPr>
            <w:r w:rsidRPr="00D66D89">
              <w:rPr>
                <w:rStyle w:val="SpecialBold"/>
              </w:rPr>
              <w:t>1</w:t>
            </w:r>
            <w:r w:rsidRPr="00D66D89">
              <w:t xml:space="preserve">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D89" w:rsidP="00D66D89">
            <w:pPr>
              <w:pStyle w:val="BodyText"/>
            </w:pPr>
            <w:r w:rsidRPr="00D66D89">
              <w:rPr>
                <w:rStyle w:val="SpecialBold"/>
              </w:rPr>
              <w:t>Plan bulk product transfer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89">
            <w:pPr>
              <w:pStyle w:val="BodyText"/>
              <w:rPr>
                <w:lang w:val="en-NZ"/>
              </w:rPr>
            </w:pPr>
            <w:r w:rsidRPr="00D66D8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89">
            <w:pPr>
              <w:pStyle w:val="BodyText"/>
              <w:rPr>
                <w:lang w:val="en-NZ"/>
              </w:rPr>
            </w:pPr>
            <w:r w:rsidRPr="00D66D89">
              <w:t>Hazards are identified, risks assessed and control measures implemented</w:t>
            </w:r>
          </w:p>
        </w:tc>
      </w:tr>
      <w:tr w:rsidTr="00D66D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D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89">
            <w:pPr>
              <w:pStyle w:val="BodyText"/>
              <w:rPr>
                <w:lang w:val="en-NZ"/>
              </w:rPr>
            </w:pPr>
            <w:r w:rsidRPr="00D66D8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89">
            <w:pPr>
              <w:pStyle w:val="BodyText"/>
              <w:rPr>
                <w:lang w:val="en-NZ"/>
              </w:rPr>
            </w:pPr>
            <w:r w:rsidRPr="00D66D89">
              <w:t xml:space="preserve">Dangerous or hazardous products requiring handling are identified in accordance with workplace procedures </w:t>
            </w:r>
          </w:p>
        </w:tc>
      </w:tr>
      <w:tr w:rsidTr="00D66D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D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89">
            <w:pPr>
              <w:pStyle w:val="BodyText"/>
              <w:rPr>
                <w:lang w:val="en-NZ"/>
              </w:rPr>
            </w:pPr>
            <w:r w:rsidRPr="00D66D8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89">
            <w:pPr>
              <w:pStyle w:val="BodyText"/>
              <w:rPr>
                <w:lang w:val="en-NZ"/>
              </w:rPr>
            </w:pPr>
            <w:r w:rsidRPr="00D66D89">
              <w:t>Traffic f</w:t>
            </w:r>
            <w:r w:rsidRPr="00D66D89">
              <w:t xml:space="preserve">low and work area conditions are assessed to ensure safe operation </w:t>
            </w:r>
          </w:p>
        </w:tc>
      </w:tr>
      <w:tr w:rsidTr="00D66D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D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89">
            <w:pPr>
              <w:pStyle w:val="BodyText"/>
              <w:rPr>
                <w:lang w:val="en-NZ"/>
              </w:rPr>
            </w:pPr>
            <w:r w:rsidRPr="00D66D8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89">
            <w:pPr>
              <w:pStyle w:val="BodyText"/>
              <w:rPr>
                <w:lang w:val="en-NZ"/>
              </w:rPr>
            </w:pPr>
            <w:r w:rsidRPr="00D66D89">
              <w:t>Product characteristics are taken into account when selecting method, equipment and specialised attachments to transfer product</w:t>
            </w:r>
          </w:p>
        </w:tc>
      </w:tr>
      <w:tr w:rsidTr="00D66D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D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89">
            <w:pPr>
              <w:pStyle w:val="BodyText"/>
              <w:rPr>
                <w:lang w:val="en-NZ"/>
              </w:rPr>
            </w:pPr>
            <w:r w:rsidRPr="00D66D8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89">
            <w:pPr>
              <w:pStyle w:val="BodyText"/>
              <w:rPr>
                <w:lang w:val="en-NZ"/>
              </w:rPr>
            </w:pPr>
            <w:r w:rsidRPr="00D66D89">
              <w:t>Bulk transfer of dry products is planned, taki</w:t>
            </w:r>
            <w:r w:rsidRPr="00D66D89">
              <w:t>ng into account load requirements, transfer method, storage facility and transport mode, load weight, dimensions and equipment capacity</w:t>
            </w:r>
          </w:p>
        </w:tc>
      </w:tr>
      <w:tr w:rsidTr="00D66D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D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89">
            <w:pPr>
              <w:pStyle w:val="BodyText"/>
              <w:rPr>
                <w:lang w:val="en-NZ"/>
              </w:rPr>
            </w:pPr>
            <w:r w:rsidRPr="00D66D89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89">
            <w:pPr>
              <w:pStyle w:val="BodyText"/>
              <w:rPr>
                <w:lang w:val="en-NZ"/>
              </w:rPr>
            </w:pPr>
            <w:r w:rsidRPr="00D66D89">
              <w:t>Personal protective equipment (PPE), safety equipment, signage, barriers and precautions are identified</w:t>
            </w:r>
          </w:p>
        </w:tc>
      </w:tr>
      <w:tr w:rsidTr="00D66D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D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89">
            <w:pPr>
              <w:pStyle w:val="BodyText"/>
              <w:rPr>
                <w:lang w:val="en-NZ"/>
              </w:rPr>
            </w:pPr>
            <w:r w:rsidRPr="00D66D89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89">
            <w:pPr>
              <w:pStyle w:val="BodyText"/>
              <w:rPr>
                <w:lang w:val="en-NZ"/>
              </w:rPr>
            </w:pPr>
            <w:r w:rsidRPr="00D66D89">
              <w:t>Pr</w:t>
            </w:r>
            <w:r w:rsidRPr="00D66D89">
              <w:t>ocedures to deal with spills, leakages and ruptures are identified</w:t>
            </w:r>
          </w:p>
        </w:tc>
      </w:tr>
      <w:tr w:rsidTr="00D66D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D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89">
            <w:pPr>
              <w:pStyle w:val="BodyText"/>
              <w:rPr>
                <w:lang w:val="en-NZ"/>
              </w:rPr>
            </w:pPr>
            <w:r w:rsidRPr="00D66D89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89">
            <w:pPr>
              <w:pStyle w:val="BodyText"/>
              <w:rPr>
                <w:lang w:val="en-NZ"/>
              </w:rPr>
            </w:pPr>
            <w:r w:rsidRPr="00D66D89">
              <w:t>Customer requests for variation to agreed operations are referred to relevant personnel</w:t>
            </w:r>
          </w:p>
        </w:tc>
      </w:tr>
      <w:tr w:rsidTr="00D66D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D89" w:rsidP="00D66D89">
            <w:pPr>
              <w:pStyle w:val="BodyText"/>
            </w:pPr>
            <w:r w:rsidRPr="00D66D89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D89" w:rsidP="00D66D89">
            <w:pPr>
              <w:pStyle w:val="BodyText"/>
            </w:pPr>
            <w:r w:rsidRPr="00D66D89">
              <w:rPr>
                <w:rStyle w:val="SpecialBold"/>
              </w:rPr>
              <w:t>Transfer bulk</w:t>
            </w:r>
            <w:r w:rsidRPr="00D66D89">
              <w:t xml:space="preserve"> </w:t>
            </w:r>
            <w:r w:rsidRPr="00D66D89">
              <w:rPr>
                <w:rStyle w:val="SpecialBold"/>
              </w:rPr>
              <w:t>product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89">
            <w:pPr>
              <w:pStyle w:val="BodyText"/>
              <w:rPr>
                <w:lang w:val="en-NZ"/>
              </w:rPr>
            </w:pPr>
            <w:r w:rsidRPr="00D66D8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89">
            <w:pPr>
              <w:pStyle w:val="BodyText"/>
              <w:rPr>
                <w:lang w:val="en-NZ"/>
              </w:rPr>
            </w:pPr>
            <w:r w:rsidRPr="00D66D89">
              <w:t>Bulk transfer equipment is inspected and prepared in accordance with manufacturer specifications</w:t>
            </w:r>
          </w:p>
        </w:tc>
      </w:tr>
      <w:tr w:rsidTr="00D66D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D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89">
            <w:pPr>
              <w:pStyle w:val="BodyText"/>
              <w:rPr>
                <w:lang w:val="en-NZ"/>
              </w:rPr>
            </w:pPr>
            <w:r w:rsidRPr="00D66D8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89">
            <w:pPr>
              <w:pStyle w:val="BodyText"/>
              <w:rPr>
                <w:lang w:val="en-NZ"/>
              </w:rPr>
            </w:pPr>
            <w:r w:rsidRPr="00D66D89">
              <w:t>Dry product handling procedures are implemented in accordance with product guidelines and workplace procedures</w:t>
            </w:r>
          </w:p>
        </w:tc>
      </w:tr>
      <w:tr w:rsidTr="00D66D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D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89">
            <w:pPr>
              <w:pStyle w:val="BodyText"/>
              <w:rPr>
                <w:lang w:val="en-NZ"/>
              </w:rPr>
            </w:pPr>
            <w:r w:rsidRPr="00D66D8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89">
            <w:pPr>
              <w:pStyle w:val="BodyText"/>
              <w:rPr>
                <w:lang w:val="en-NZ"/>
              </w:rPr>
            </w:pPr>
            <w:r w:rsidRPr="00D66D89">
              <w:t>Instruments and gauges are monitor</w:t>
            </w:r>
            <w:r w:rsidRPr="00D66D89">
              <w:t>ed during bulk transfer to ensure operation is consistent with safety requirements, workplace procedures and manufacturer specifications</w:t>
            </w:r>
          </w:p>
        </w:tc>
      </w:tr>
      <w:tr w:rsidTr="00D66D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D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89">
            <w:pPr>
              <w:pStyle w:val="BodyText"/>
              <w:rPr>
                <w:lang w:val="en-NZ"/>
              </w:rPr>
            </w:pPr>
            <w:r w:rsidRPr="00D66D8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89">
            <w:pPr>
              <w:pStyle w:val="BodyText"/>
              <w:rPr>
                <w:lang w:val="en-NZ"/>
              </w:rPr>
            </w:pPr>
            <w:r w:rsidRPr="00D66D89">
              <w:t xml:space="preserve">Operation is monitored for safety and efficiency </w:t>
            </w:r>
          </w:p>
        </w:tc>
      </w:tr>
      <w:tr w:rsidTr="00D66D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D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89">
            <w:pPr>
              <w:pStyle w:val="BodyText"/>
              <w:rPr>
                <w:lang w:val="en-NZ"/>
              </w:rPr>
            </w:pPr>
            <w:r w:rsidRPr="00D66D89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89">
            <w:pPr>
              <w:pStyle w:val="BodyText"/>
              <w:rPr>
                <w:lang w:val="en-NZ"/>
              </w:rPr>
            </w:pPr>
            <w:r w:rsidRPr="00D66D89">
              <w:t>Faults or damage to equipment are identified and reported in accordance with workplace procedures</w:t>
            </w:r>
          </w:p>
        </w:tc>
      </w:tr>
      <w:tr w:rsidTr="00D66D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D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89">
            <w:pPr>
              <w:pStyle w:val="BodyText"/>
              <w:rPr>
                <w:lang w:val="en-NZ"/>
              </w:rPr>
            </w:pPr>
            <w:r w:rsidRPr="00D66D89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89">
            <w:pPr>
              <w:pStyle w:val="BodyText"/>
              <w:rPr>
                <w:lang w:val="en-NZ"/>
              </w:rPr>
            </w:pPr>
            <w:r w:rsidRPr="00D66D89">
              <w:t>Bulk transfer equipment controls are monitored and operated in accordance with manufacturer specifications and workplace procedures</w:t>
            </w:r>
          </w:p>
        </w:tc>
      </w:tr>
      <w:tr w:rsidTr="00D66D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D89" w:rsidP="00D66D89">
            <w:pPr>
              <w:pStyle w:val="BodyText"/>
            </w:pPr>
            <w:r w:rsidRPr="00D66D89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D89" w:rsidP="00D66D89">
            <w:pPr>
              <w:pStyle w:val="BodyText"/>
            </w:pPr>
            <w:r w:rsidRPr="00D66D89">
              <w:rPr>
                <w:rStyle w:val="SpecialBold"/>
              </w:rPr>
              <w:t>Complete bulk tr</w:t>
            </w:r>
            <w:r w:rsidRPr="00D66D89">
              <w:rPr>
                <w:rStyle w:val="SpecialBold"/>
              </w:rPr>
              <w:t>ansfer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89">
            <w:pPr>
              <w:pStyle w:val="BodyText"/>
              <w:rPr>
                <w:lang w:val="en-NZ"/>
              </w:rPr>
            </w:pPr>
            <w:r w:rsidRPr="00D66D8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89">
            <w:pPr>
              <w:pStyle w:val="BodyText"/>
              <w:rPr>
                <w:lang w:val="en-NZ"/>
              </w:rPr>
            </w:pPr>
            <w:r w:rsidRPr="00D66D89">
              <w:t>Bulk transfer equipment is shut down in accordance with manufacturer specifications and workplace procedures</w:t>
            </w:r>
          </w:p>
        </w:tc>
      </w:tr>
      <w:tr w:rsidTr="00D66D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D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89">
            <w:pPr>
              <w:pStyle w:val="BodyText"/>
              <w:rPr>
                <w:lang w:val="en-NZ"/>
              </w:rPr>
            </w:pPr>
            <w:r w:rsidRPr="00D66D8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89">
            <w:pPr>
              <w:pStyle w:val="BodyText"/>
              <w:rPr>
                <w:lang w:val="en-NZ"/>
              </w:rPr>
            </w:pPr>
            <w:r w:rsidRPr="00D66D89">
              <w:t>Housekeeping of work area is undertaken in accordance with workplace procedures</w:t>
            </w:r>
          </w:p>
        </w:tc>
      </w:tr>
      <w:tr w:rsidTr="00D66D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D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89">
            <w:pPr>
              <w:pStyle w:val="BodyText"/>
              <w:rPr>
                <w:lang w:val="en-NZ"/>
              </w:rPr>
            </w:pPr>
            <w:r w:rsidRPr="00D66D8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89">
            <w:pPr>
              <w:pStyle w:val="BodyText"/>
              <w:rPr>
                <w:lang w:val="en-NZ"/>
              </w:rPr>
            </w:pPr>
            <w:r w:rsidRPr="00D66D89">
              <w:t>Bulk transfer equipment is cleaned and stored in accordance with workplace procedures</w:t>
            </w:r>
          </w:p>
        </w:tc>
      </w:tr>
      <w:tr w:rsidTr="00D66D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D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D89">
            <w:pPr>
              <w:pStyle w:val="BodyText"/>
              <w:rPr>
                <w:lang w:val="en-NZ"/>
              </w:rPr>
            </w:pPr>
            <w:r w:rsidRPr="00D66D89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D89" w:rsidP="00D66D89">
            <w:pPr>
              <w:pStyle w:val="BodyText"/>
            </w:pPr>
            <w:r w:rsidRPr="00D66D89">
              <w:t>Documentation is completed in accordance with workplace procedures</w:t>
            </w:r>
          </w:p>
        </w:tc>
      </w:tr>
    </w:tbl>
    <w:p w:rsidR="00000000" w:rsidRPr="00D66D89" w:rsidP="00D66D89">
      <w:pPr>
        <w:pStyle w:val="NoPaddingFontSize1"/>
      </w:pPr>
    </w:p>
    <w:p w:rsidR="00000000" w:rsidRPr="00D66D89" w:rsidP="00D66D89">
      <w:pPr>
        <w:pStyle w:val="AllowPageBreak"/>
      </w:pPr>
    </w:p>
    <w:p w:rsidR="00000000" w:rsidRPr="00D66D89" w:rsidP="00D66D89">
      <w:pPr>
        <w:pStyle w:val="Heading1"/>
      </w:pPr>
      <w:bookmarkStart w:id="7" w:name="O_1066982"/>
      <w:bookmarkEnd w:id="7"/>
      <w:r w:rsidRPr="00D66D8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6D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D89" w:rsidP="00D66D89">
            <w:pPr>
              <w:pStyle w:val="BodyText"/>
            </w:pPr>
            <w:r w:rsidRPr="00D66D89">
              <w:t>Foundation skills essential to performance are explicit i</w:t>
            </w:r>
            <w:r w:rsidRPr="00D66D89">
              <w:t>n the performance criteria of this unit of competency.</w:t>
            </w:r>
          </w:p>
        </w:tc>
      </w:tr>
    </w:tbl>
    <w:p w:rsidR="00000000" w:rsidRPr="00D66D89" w:rsidP="00D66D89">
      <w:pPr>
        <w:pStyle w:val="NoPaddingFontSize1"/>
      </w:pPr>
    </w:p>
    <w:p w:rsidR="00000000" w:rsidRPr="00D66D89" w:rsidP="00D66D89">
      <w:pPr>
        <w:pStyle w:val="AllowPageBreak"/>
      </w:pPr>
    </w:p>
    <w:p w:rsidR="00000000" w:rsidRPr="00D66D89" w:rsidP="00D66D89">
      <w:pPr>
        <w:pStyle w:val="Heading1"/>
      </w:pPr>
      <w:bookmarkStart w:id="8" w:name="O_1066983"/>
      <w:bookmarkEnd w:id="8"/>
      <w:r w:rsidRPr="00D66D8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6D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D89" w:rsidP="00D66D89">
            <w:pPr>
              <w:pStyle w:val="BodyText"/>
            </w:pPr>
            <w:r w:rsidRPr="00D66D89">
              <w:t>Range is restricted to essential operating conditions and any other variables essential to the work environment.</w:t>
            </w:r>
          </w:p>
        </w:tc>
      </w:tr>
    </w:tbl>
    <w:p w:rsidR="00000000" w:rsidRPr="00D66D89" w:rsidP="00D66D89">
      <w:pPr>
        <w:pStyle w:val="NoPaddingFontSize1"/>
      </w:pPr>
    </w:p>
    <w:p w:rsidR="00000000" w:rsidRPr="00D66D89" w:rsidP="00D66D89">
      <w:pPr>
        <w:pStyle w:val="AllowPageBreak"/>
      </w:pPr>
    </w:p>
    <w:p w:rsidR="00000000" w:rsidRPr="00D66D89" w:rsidP="00D66D89">
      <w:pPr>
        <w:pStyle w:val="Heading1"/>
      </w:pPr>
      <w:bookmarkStart w:id="9" w:name="O_1066984"/>
      <w:bookmarkEnd w:id="9"/>
      <w:r w:rsidRPr="00D66D8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6D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D89" w:rsidP="00D66D89">
            <w:pPr>
              <w:pStyle w:val="BodyText"/>
            </w:pPr>
            <w:r w:rsidRPr="00D66D89">
              <w:t>This unit replaces and is equivalent to TLID2021 Use specialised bulk transfer equipment (dry).</w:t>
            </w:r>
          </w:p>
        </w:tc>
      </w:tr>
    </w:tbl>
    <w:p w:rsidR="00000000" w:rsidRPr="00D66D89" w:rsidP="00D66D89">
      <w:pPr>
        <w:pStyle w:val="NoPaddingFontSize1"/>
      </w:pPr>
    </w:p>
    <w:p w:rsidR="00000000" w:rsidRPr="00D66D89" w:rsidP="00D66D89">
      <w:pPr>
        <w:pStyle w:val="AllowPageBreak"/>
      </w:pPr>
    </w:p>
    <w:p w:rsidR="00000000" w:rsidRPr="00D66D89" w:rsidP="00D66D89">
      <w:pPr>
        <w:pStyle w:val="Heading1"/>
      </w:pPr>
      <w:bookmarkStart w:id="10" w:name="O_1066991"/>
      <w:bookmarkEnd w:id="10"/>
      <w:r w:rsidRPr="00D66D89">
        <w:t>Links</w:t>
      </w:r>
    </w:p>
    <w:p w:rsidR="00000000" w:rsidRPr="00D66D89" w:rsidP="00E12A6E">
      <w:pPr>
        <w:pStyle w:val="BodyText"/>
      </w:pPr>
      <w:r w:rsidRPr="00D66D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94F6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66D89" w:rsidP="00D66D89"/>
    <w:sectPr w:rsidSect="00D66D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D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D89" w:rsidRPr="00E12A6E" w:rsidP="00E12A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D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A6E" w:rsidP="00D66D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2A6E" w:rsidP="00D66D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12A6E" w:rsidP="00D66D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D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A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6D89" w:rsidRPr="00E12A6E" w:rsidP="00E12A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D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A6E" w:rsidRPr="002D2AF8" w:rsidP="00D66D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TLID0011 Use bulk transfer equipment (dry)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12A6E" w:rsidP="00D66D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6D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6D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6D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6D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6D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6D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6D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6D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6D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6D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6D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6D89"/>
  </w:style>
  <w:style w:type="character" w:customStyle="1" w:styleId="Heading1Char">
    <w:name w:val="Heading 1 Char"/>
    <w:basedOn w:val="DefaultParagraphFont"/>
    <w:link w:val="Heading1"/>
    <w:rsid w:val="00D66D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6D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6D8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66D89"/>
    <w:rPr>
      <w:b/>
      <w:spacing w:val="0"/>
    </w:rPr>
  </w:style>
  <w:style w:type="paragraph" w:customStyle="1" w:styleId="SuperHeading">
    <w:name w:val="SuperHeading"/>
    <w:basedOn w:val="Normal"/>
    <w:rsid w:val="00D66D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6D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66D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6D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6D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6D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6D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6D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6D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6D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6D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6D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6D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6D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6D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6D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6D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6D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6D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6D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6D8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66D8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66D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6D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6D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6D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6D8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6D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6D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6D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6D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6D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6D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6D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6D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6D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6D89"/>
    <w:rPr>
      <w:i/>
    </w:rPr>
  </w:style>
  <w:style w:type="paragraph" w:styleId="Caption">
    <w:name w:val="caption"/>
    <w:basedOn w:val="BodyText"/>
    <w:next w:val="Normal"/>
    <w:qFormat/>
    <w:rsid w:val="00D66D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6D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6D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6D89"/>
  </w:style>
  <w:style w:type="paragraph" w:styleId="TableofFigures">
    <w:name w:val="table of figures"/>
    <w:basedOn w:val="Normal"/>
    <w:next w:val="Normal"/>
    <w:semiHidden/>
    <w:rsid w:val="00D66D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6D8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66D89"/>
    <w:rPr>
      <w:rFonts w:ascii="Wingdings" w:hAnsi="Wingdings"/>
    </w:rPr>
  </w:style>
  <w:style w:type="paragraph" w:customStyle="1" w:styleId="TableHeading">
    <w:name w:val="Table Heading"/>
    <w:basedOn w:val="HeadingBase"/>
    <w:rsid w:val="00D66D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6D89"/>
    <w:rPr>
      <w:color w:val="0033CC"/>
      <w:u w:val="none"/>
    </w:rPr>
  </w:style>
  <w:style w:type="paragraph" w:customStyle="1" w:styleId="BodyTextRight">
    <w:name w:val="Body Text Right"/>
    <w:basedOn w:val="BodyText"/>
    <w:rsid w:val="00D66D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6D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6D8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6D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6D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6D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6D89"/>
    <w:rPr>
      <w:sz w:val="32"/>
    </w:rPr>
  </w:style>
  <w:style w:type="paragraph" w:customStyle="1" w:styleId="HeadingProcedure">
    <w:name w:val="Heading Procedure"/>
    <w:basedOn w:val="HeadingBase"/>
    <w:next w:val="Normal"/>
    <w:rsid w:val="00D66D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6D89"/>
    <w:pPr>
      <w:spacing w:before="60" w:after="60"/>
    </w:pPr>
  </w:style>
  <w:style w:type="paragraph" w:styleId="ListContinue">
    <w:name w:val="List Continue"/>
    <w:basedOn w:val="List"/>
    <w:rsid w:val="00D66D89"/>
    <w:pPr>
      <w:ind w:firstLine="0"/>
    </w:pPr>
  </w:style>
  <w:style w:type="paragraph" w:customStyle="1" w:styleId="ListNote">
    <w:name w:val="List Note"/>
    <w:basedOn w:val="List"/>
    <w:rsid w:val="00D66D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6D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6D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6D89"/>
    <w:rPr>
      <w:rFonts w:ascii="Courier New" w:hAnsi="Courier New"/>
    </w:rPr>
  </w:style>
  <w:style w:type="paragraph" w:customStyle="1" w:styleId="NoteBullet">
    <w:name w:val="Note Bullet"/>
    <w:basedOn w:val="Note"/>
    <w:rsid w:val="00D66D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6D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6D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6D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6D8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66D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6D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6D89"/>
    <w:rPr>
      <w:b/>
      <w:smallCaps/>
    </w:rPr>
  </w:style>
  <w:style w:type="paragraph" w:customStyle="1" w:styleId="TableListNumber">
    <w:name w:val="Table List Number"/>
    <w:basedOn w:val="ListNumber"/>
    <w:rsid w:val="00D66D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6D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6D89"/>
    <w:pPr>
      <w:numPr>
        <w:numId w:val="7"/>
      </w:numPr>
    </w:pPr>
  </w:style>
  <w:style w:type="paragraph" w:customStyle="1" w:styleId="ListAlpha2">
    <w:name w:val="List Alpha 2"/>
    <w:basedOn w:val="List2"/>
    <w:rsid w:val="00D66D89"/>
    <w:pPr>
      <w:numPr>
        <w:numId w:val="6"/>
      </w:numPr>
    </w:pPr>
  </w:style>
  <w:style w:type="paragraph" w:styleId="List2">
    <w:name w:val="List 2"/>
    <w:basedOn w:val="BodyText"/>
    <w:rsid w:val="00D66D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6D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6D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6D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6D8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6D8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66D89"/>
    <w:pPr>
      <w:numPr>
        <w:numId w:val="2"/>
      </w:numPr>
    </w:pPr>
  </w:style>
  <w:style w:type="paragraph" w:styleId="ListContinue2">
    <w:name w:val="List Continue 2"/>
    <w:basedOn w:val="List2"/>
    <w:rsid w:val="00D66D89"/>
    <w:pPr>
      <w:ind w:firstLine="0"/>
    </w:pPr>
  </w:style>
  <w:style w:type="paragraph" w:styleId="ListContinue3">
    <w:name w:val="List Continue 3"/>
    <w:basedOn w:val="List3"/>
    <w:rsid w:val="00D66D89"/>
    <w:pPr>
      <w:ind w:left="1021" w:firstLine="0"/>
    </w:pPr>
  </w:style>
  <w:style w:type="paragraph" w:styleId="ListContinue4">
    <w:name w:val="List Continue 4"/>
    <w:basedOn w:val="List4"/>
    <w:rsid w:val="00D66D89"/>
    <w:pPr>
      <w:ind w:firstLine="0"/>
    </w:pPr>
  </w:style>
  <w:style w:type="paragraph" w:styleId="ListContinue5">
    <w:name w:val="List Continue 5"/>
    <w:basedOn w:val="List5"/>
    <w:rsid w:val="00D66D89"/>
    <w:pPr>
      <w:ind w:firstLine="0"/>
    </w:pPr>
  </w:style>
  <w:style w:type="paragraph" w:styleId="ListNumber3">
    <w:name w:val="List Number 3"/>
    <w:basedOn w:val="List3"/>
    <w:rsid w:val="00D66D89"/>
    <w:pPr>
      <w:numPr>
        <w:numId w:val="3"/>
      </w:numPr>
    </w:pPr>
  </w:style>
  <w:style w:type="paragraph" w:styleId="ListNumber4">
    <w:name w:val="List Number 4"/>
    <w:basedOn w:val="List4"/>
    <w:rsid w:val="00D66D89"/>
    <w:pPr>
      <w:numPr>
        <w:numId w:val="4"/>
      </w:numPr>
    </w:pPr>
  </w:style>
  <w:style w:type="paragraph" w:styleId="ListNumber5">
    <w:name w:val="List Number 5"/>
    <w:basedOn w:val="List5"/>
    <w:rsid w:val="00D66D89"/>
    <w:pPr>
      <w:numPr>
        <w:numId w:val="5"/>
      </w:numPr>
    </w:pPr>
  </w:style>
  <w:style w:type="paragraph" w:styleId="BlockText">
    <w:name w:val="Block Text"/>
    <w:basedOn w:val="Normal"/>
    <w:rsid w:val="00D66D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6D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6D89"/>
    <w:rPr>
      <w:sz w:val="16"/>
      <w:vertAlign w:val="superscript"/>
    </w:rPr>
  </w:style>
  <w:style w:type="character" w:customStyle="1" w:styleId="Symbols">
    <w:name w:val="Symbols"/>
    <w:basedOn w:val="DefaultParagraphFont"/>
    <w:rsid w:val="00D66D89"/>
    <w:rPr>
      <w:rFonts w:ascii="Symbol" w:hAnsi="Symbol"/>
    </w:rPr>
  </w:style>
  <w:style w:type="character" w:customStyle="1" w:styleId="MenuOptions">
    <w:name w:val="Menu Options"/>
    <w:basedOn w:val="DefaultParagraphFont"/>
    <w:rsid w:val="00D66D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6D89"/>
    <w:rPr>
      <w:b/>
    </w:rPr>
  </w:style>
  <w:style w:type="character" w:customStyle="1" w:styleId="Underlined">
    <w:name w:val="Underlined"/>
    <w:basedOn w:val="DefaultParagraphFont"/>
    <w:rsid w:val="00D66D89"/>
    <w:rPr>
      <w:u w:val="single"/>
    </w:rPr>
  </w:style>
  <w:style w:type="paragraph" w:customStyle="1" w:styleId="TableBodyTextRight">
    <w:name w:val="Table Body Text Right"/>
    <w:basedOn w:val="TableBodyText"/>
    <w:rsid w:val="00D66D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6D89"/>
    <w:rPr>
      <w:sz w:val="18"/>
    </w:rPr>
  </w:style>
  <w:style w:type="paragraph" w:customStyle="1" w:styleId="BodySmallRight">
    <w:name w:val="Body Small Right"/>
    <w:basedOn w:val="BodyTextRight"/>
    <w:rsid w:val="00D66D89"/>
    <w:rPr>
      <w:sz w:val="18"/>
      <w:szCs w:val="18"/>
    </w:rPr>
  </w:style>
  <w:style w:type="paragraph" w:customStyle="1" w:styleId="MarginEdition">
    <w:name w:val="Margin Edition"/>
    <w:basedOn w:val="MarginNote"/>
    <w:rsid w:val="00D66D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6D89"/>
    <w:rPr>
      <w:sz w:val="2"/>
      <w:szCs w:val="2"/>
    </w:rPr>
  </w:style>
  <w:style w:type="character" w:customStyle="1" w:styleId="Small">
    <w:name w:val="Small"/>
    <w:basedOn w:val="DefaultParagraphFont"/>
    <w:rsid w:val="00D66D89"/>
    <w:rPr>
      <w:sz w:val="16"/>
    </w:rPr>
  </w:style>
  <w:style w:type="paragraph" w:customStyle="1" w:styleId="WideTable">
    <w:name w:val="Wide Table"/>
    <w:basedOn w:val="Normal"/>
    <w:rsid w:val="00D66D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6D89"/>
  </w:style>
  <w:style w:type="paragraph" w:styleId="Quote">
    <w:name w:val="Quote"/>
    <w:basedOn w:val="Heading1"/>
    <w:link w:val="QuoteChar"/>
    <w:qFormat/>
    <w:rsid w:val="00D66D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6D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6D89"/>
    <w:pPr>
      <w:pageBreakBefore/>
    </w:pPr>
  </w:style>
  <w:style w:type="paragraph" w:customStyle="1" w:styleId="Border">
    <w:name w:val="Border"/>
    <w:basedOn w:val="Normal"/>
    <w:qFormat/>
    <w:rsid w:val="00D66D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6D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6D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6D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6D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6D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6D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6D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6D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6D89"/>
    <w:rPr>
      <w:u w:val="single"/>
    </w:rPr>
  </w:style>
  <w:style w:type="character" w:customStyle="1" w:styleId="BoldandItalics">
    <w:name w:val="Bold and Italics"/>
    <w:qFormat/>
    <w:rsid w:val="00D66D89"/>
    <w:rPr>
      <w:b/>
      <w:i/>
      <w:u w:val="none"/>
    </w:rPr>
  </w:style>
  <w:style w:type="paragraph" w:styleId="BalloonText">
    <w:name w:val="Balloon Text"/>
    <w:basedOn w:val="Normal"/>
    <w:link w:val="BalloonTextChar"/>
    <w:rsid w:val="00D66D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6D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6D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6D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6D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6D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6D89"/>
    <w:pPr>
      <w:spacing w:before="0" w:after="0"/>
    </w:pPr>
  </w:style>
  <w:style w:type="paragraph" w:customStyle="1" w:styleId="BodyTextBold">
    <w:name w:val="Body Text Bold"/>
    <w:basedOn w:val="BodyText"/>
    <w:qFormat/>
    <w:rsid w:val="00D66D89"/>
    <w:rPr>
      <w:b/>
    </w:rPr>
  </w:style>
  <w:style w:type="character" w:styleId="Hyperlink">
    <w:name w:val="Hyperlink"/>
    <w:basedOn w:val="DefaultParagraphFont"/>
    <w:uiPriority w:val="99"/>
    <w:unhideWhenUsed/>
    <w:rsid w:val="00E12A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503</Words>
  <Characters>3256</Characters>
  <Application>Microsoft Office Word</Application>
  <DocSecurity>0</DocSecurity>
  <Lines>171</Lines>
  <Paragraphs>87</Paragraphs>
  <ScaleCrop>false</ScaleCrop>
  <Company>Author-it Software Corporation Ltd.</Company>
  <LinksUpToDate>false</LinksUpToDate>
  <CharactersWithSpaces>3672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TLID0011 Use bulk transfer equipment (dry)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2024-07-12T07:31:00Z</dcterms:created>
  <dcterms:modified xsi:type="dcterms:W3CDTF">2024-07-12T07:31:00Z</dcterms:modified>
</cp:coreProperties>
</file>