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348" w:rsidP="00EF4348">
      <w:pPr>
        <w:pStyle w:val="Title"/>
      </w:pPr>
      <w:r>
        <w:fldChar w:fldCharType="begin"/>
      </w:r>
      <w:r>
        <w:instrText xml:space="preserve"> TITLE   \* MERGEFORMAT </w:instrText>
      </w:r>
      <w:r>
        <w:fldChar w:fldCharType="separate"/>
      </w:r>
      <w:r>
        <w:t>TLID0008 Shift loads using bridge or gantry crane</w:t>
      </w:r>
      <w:r>
        <w:fldChar w:fldCharType="end"/>
      </w:r>
    </w:p>
    <w:p w:rsidR="00EF4348" w:rsidP="00EF4348">
      <w:pPr>
        <w:pStyle w:val="Version"/>
        <w:sectPr w:rsidSect="00A52E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E77" w:rsidP="00A52E77">
      <w:pPr>
        <w:pStyle w:val="SuperHeading"/>
      </w:pPr>
      <w:r w:rsidRPr="00A52E77">
        <w:t>TLID0008 Shift loads using bridge or gantry crane</w:t>
      </w:r>
    </w:p>
    <w:p w:rsidR="00000000" w:rsidRPr="00A52E77" w:rsidP="00A52E77">
      <w:pPr>
        <w:pStyle w:val="Heading1"/>
      </w:pPr>
      <w:bookmarkStart w:id="1" w:name="O_1066919"/>
      <w:bookmarkEnd w:id="1"/>
      <w:r w:rsidRPr="00A52E77">
        <w:t>Modification History</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 xml:space="preserve">Release 1. </w:t>
            </w:r>
            <w:r w:rsidRPr="00A52E77">
              <w:t>This is the first release of this unit of competency in the TLI Transport and Logistics Training Package.</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2" w:name="O_1066920"/>
      <w:bookmarkEnd w:id="2"/>
      <w:r w:rsidRPr="00A52E77">
        <w:t>Application</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This unit involves the skills and knowledge required to shift loads using br</w:t>
            </w:r>
            <w:r w:rsidRPr="00A52E77">
              <w:t>idge or gantry crane in accordance with relevant regulations and workplace requirements as part of work activities in the transport and logistics industry.</w:t>
            </w:r>
          </w:p>
          <w:p w:rsidR="00000000" w:rsidRPr="00A52E77" w:rsidP="00A52E77">
            <w:pPr>
              <w:pStyle w:val="BodyText"/>
            </w:pPr>
            <w:r w:rsidRPr="00A52E77">
              <w:t>It includes planning work for the prevailing working conditions, using controls and operating system</w:t>
            </w:r>
            <w:r w:rsidRPr="00A52E77">
              <w:t>s to manage the operation of equipment, and locating and identifying load characteristics. It also includes safely moving the load; monitoring controls and stopping, shutting down and securing equipment after the completion of operations.</w:t>
            </w:r>
          </w:p>
          <w:p w:rsidR="00000000" w:rsidRPr="00A52E77" w:rsidP="00A52E77">
            <w:pPr>
              <w:pStyle w:val="BodyText"/>
            </w:pPr>
            <w:r w:rsidRPr="00A52E77">
              <w:t>Work is performed</w:t>
            </w:r>
            <w:r w:rsidRPr="00A52E77">
              <w:t xml:space="preserve"> under some supervision generally within a team environment.</w:t>
            </w:r>
          </w:p>
          <w:p w:rsidR="00000000" w:rsidRPr="00A52E77" w:rsidP="00A52E77">
            <w:pPr>
              <w:pStyle w:val="BodyText"/>
            </w:pPr>
            <w:r w:rsidRPr="00A52E77">
              <w:t>Where the load shifting equipment operated is considered to be high risk work, the operator must hold a high-risk work licence.</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3" w:name="O_1066921"/>
      <w:bookmarkEnd w:id="3"/>
      <w:r w:rsidRPr="00A52E77">
        <w:t>Pre-requisite Unit</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Not applicable.</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4" w:name="O_1066922"/>
      <w:bookmarkEnd w:id="4"/>
      <w:r w:rsidRPr="00A52E77">
        <w:t>Competency Field</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D – Load Handling</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5" w:name="O_1066923"/>
      <w:bookmarkEnd w:id="5"/>
      <w:r w:rsidRPr="00A52E77">
        <w:t>Unit Sector</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Not applicable.</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6" w:name="O_1066924"/>
      <w:bookmarkEnd w:id="6"/>
      <w:r w:rsidRPr="00A52E7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52E7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PERFORMANCE CRITERIA</w:t>
            </w:r>
          </w:p>
        </w:tc>
      </w:tr>
      <w:tr w:rsidTr="00A52E7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Performance criteria describe the performance needed to demonstrate achievement of the element.</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1</w:t>
            </w:r>
            <w:r w:rsidRPr="00A52E77">
              <w:t xml:space="preserve"> </w:t>
            </w:r>
          </w:p>
        </w:tc>
        <w:tc>
          <w:tcPr>
            <w:tcW w:w="274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 xml:space="preserve">Prepare work for the prevailing working </w:t>
            </w:r>
            <w:r w:rsidRPr="00A52E77">
              <w:rPr>
                <w:rStyle w:val="SpecialBold"/>
              </w:rPr>
              <w:t>conditions</w:t>
            </w: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Traffic flow, weather and work area conditions are constantly assessed and adjusted to allow for saf</w:t>
            </w:r>
            <w:r w:rsidRPr="00A52E77">
              <w:t xml:space="preserve">e </w:t>
            </w:r>
            <w:r w:rsidRPr="00A52E77">
              <w:t>operations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Hazards are identified, risks are assessed and control measures are implemented</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Load characteristics are taken into account to ensure appropriate attachments/gear are used to move the load in accordance with lift plan</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Occurrences in the work area that may affect the safety and efficiency of operations are reported to relevant personnel in accordance with workplace procedures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Bridge or gantry crane and equipment are inspected and configured in accordance with manu</w:t>
            </w:r>
            <w:r w:rsidRPr="00A52E77">
              <w:t>facturer specifications, prepared and appropriate attachments fitted</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Crane pre-operational checks are conducted in accordance with manufacturer specifications and workplace procedures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Operate bridge or gantry</w:t>
            </w:r>
            <w:r w:rsidRPr="00A52E77">
              <w:t xml:space="preserve"> </w:t>
            </w:r>
            <w:r w:rsidRPr="00A52E77">
              <w:rPr>
                <w:rStyle w:val="SpecialBold"/>
              </w:rPr>
              <w:t>crane</w:t>
            </w:r>
            <w:r w:rsidRPr="00A52E77">
              <w:t xml:space="preserve"> </w:t>
            </w: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 xml:space="preserve">Bridge or gantry crane is </w:t>
            </w:r>
            <w:r w:rsidRPr="00A52E77">
              <w:t xml:space="preserve">started and operated in accordance with manufacturer specifications </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Instruments and gauges are monitored to ensure operation is within manufacturer specifications and workplace procedures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Faults or damage to bridge or gantry equipment are immediately reported to relevant personnel in accordance with workplace procedures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Locate load and identify load characteristics</w:t>
            </w: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Load is located and identified</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Working load limit (WLL) of bridge or gantry crane and equipment are identified and communicated to relevant personnel</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Load characteristics, weight and dimensions are checked to ensure gantry lifting capacity is not exceeded</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Loading and unloading plans are followed to ensure efficiency and safety of operations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Load and environmental conditions are assessed to ensure appropriate loading and unloading procedures are followed</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Hazardous cargo is identified and releva</w:t>
            </w:r>
            <w:r w:rsidRPr="00A52E77">
              <w:t>nt procedures are taken into account when planning and conducting work</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Operate bridge or</w:t>
            </w:r>
            <w:r w:rsidRPr="00A52E77">
              <w:t xml:space="preserve"> </w:t>
            </w:r>
            <w:r w:rsidRPr="00A52E77">
              <w:rPr>
                <w:rStyle w:val="SpecialBold"/>
              </w:rPr>
              <w:t>gantry crane</w:t>
            </w:r>
            <w:r w:rsidRPr="00A52E77">
              <w:t xml:space="preserve"> </w:t>
            </w:r>
            <w:r w:rsidRPr="00A52E77">
              <w:rPr>
                <w:rStyle w:val="SpecialBold"/>
              </w:rPr>
              <w:t>to safely move load</w:t>
            </w: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Bridge or gantry crane is operated and positioned using smooth and controlled movements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Movements are within equipment limits and in line with manufacturer specifications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Load is moved in accordance with workplace procedures and to ensure safe operation</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 xml:space="preserve">Communication is maintained with relevant personnel </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Bridge or gantry</w:t>
            </w:r>
            <w:r w:rsidRPr="00A52E77">
              <w:t xml:space="preserve"> crane is immediately stopped, and workplace procedures are followed, in the event of an incident or emergency </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Bridge or gantry crane controls are operated and monitored in accordance with manufacturer specifications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Bridge or gantry crane control faults are identified and reported in accordance with workplace procedures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Shut down and secure crane</w:t>
            </w: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t>Bridge or gantry crane is shut down in accordance with manufacturer specifications and workplace procedures</w:t>
            </w:r>
          </w:p>
        </w:tc>
      </w:tr>
      <w:tr w:rsidTr="00A52E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E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E77">
            <w:pPr>
              <w:pStyle w:val="BodyText"/>
              <w:rPr>
                <w:lang w:val="en-NZ"/>
              </w:rPr>
            </w:pPr>
            <w:r w:rsidRPr="00A52E7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E</w:t>
            </w:r>
            <w:r w:rsidRPr="00A52E77">
              <w:t>quipment is secured in accordance with workplace procedures</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7" w:name="O_1066925"/>
      <w:bookmarkEnd w:id="7"/>
      <w:r w:rsidRPr="00A52E77">
        <w:t>Foundation Skills</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Foundation skills essential to performance are explicit in the performance criteria of this unit of competency.</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8" w:name="O_1066926"/>
      <w:bookmarkEnd w:id="8"/>
      <w:r w:rsidRPr="00A52E77">
        <w:t>Range of Conditions</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Range is restricted to essential operating conditions and any other variables essential to the work environment.</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9" w:name="O_1066927"/>
      <w:bookmarkEnd w:id="9"/>
      <w:r w:rsidRPr="00A52E77">
        <w:t>Unit Mapping Information</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This unit replaces and is equivalent to TLID3043 Shift loads using gantry equipment.</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10" w:name="O_1066934"/>
      <w:bookmarkEnd w:id="10"/>
      <w:r w:rsidRPr="00A52E77">
        <w:t>Links</w:t>
      </w:r>
    </w:p>
    <w:p w:rsidR="00000000" w:rsidRPr="00A52E77" w:rsidP="00EF4348">
      <w:pPr>
        <w:pStyle w:val="BodyText"/>
      </w:pPr>
      <w:r w:rsidRPr="00A52E7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265E">
        <w:rPr>
          <w:rStyle w:val="Hyperlink"/>
        </w:rPr>
        <w:t>https://vetnet.gov.au/Pages/TrainingDocs.aspx?q=df441c6e-213d-43e3-874c-0b3f7036d851</w:t>
      </w:r>
      <w:r>
        <w:fldChar w:fldCharType="end"/>
      </w:r>
    </w:p>
    <w:p w:rsidR="00000000" w:rsidRPr="00A52E77" w:rsidP="00EF4348">
      <w:pPr>
        <w:pStyle w:val="BodyText"/>
        <w:sectPr w:rsidSect="00A52E77">
          <w:headerReference w:type="default" r:id="rId10"/>
          <w:footerReference w:type="default" r:id="rId11"/>
          <w:pgSz w:w="11908" w:h="16833"/>
          <w:pgMar w:top="1702" w:right="1418" w:bottom="1702" w:left="1418" w:header="992" w:footer="992" w:gutter="0"/>
          <w:cols w:space="720"/>
          <w:noEndnote/>
          <w:docGrid w:linePitch="299"/>
        </w:sectPr>
      </w:pPr>
    </w:p>
    <w:p w:rsidR="00000000" w:rsidRPr="00A52E77" w:rsidP="00A52E77">
      <w:pPr>
        <w:pStyle w:val="SuperHeading"/>
      </w:pPr>
      <w:r w:rsidRPr="00A52E77">
        <w:t xml:space="preserve">Assessment Requirements for TLID0008 </w:t>
      </w:r>
      <w:r w:rsidRPr="00A52E77">
        <w:t>Shift loads using bridge or gantry crane</w:t>
      </w:r>
    </w:p>
    <w:p w:rsidR="00000000" w:rsidRPr="00A52E77" w:rsidP="00A52E77">
      <w:pPr>
        <w:pStyle w:val="Heading1"/>
      </w:pPr>
      <w:bookmarkStart w:id="11" w:name="O_1066929"/>
      <w:bookmarkEnd w:id="11"/>
      <w:r w:rsidRPr="00A52E77">
        <w:t>Modification History</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rPr>
                <w:rStyle w:val="SpecialBold"/>
              </w:rPr>
              <w:t xml:space="preserve">Release 1. </w:t>
            </w:r>
            <w:r w:rsidRPr="00A52E77">
              <w:t>This is the first release of this unit of competency in the TLI Transport and Logistics Training Package.</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12" w:name="O_1066930"/>
      <w:bookmarkEnd w:id="12"/>
      <w:r w:rsidRPr="00A52E77">
        <w:t>Performance Evidence</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Evidence required to demonstrate competence in this unit must be relevant to and satisfy all of the requirements of the elements and performance criteria on at least one occasion and include:</w:t>
            </w:r>
          </w:p>
          <w:p w:rsidR="00000000" w:rsidRPr="00A52E77" w:rsidP="00A52E77">
            <w:pPr>
              <w:pStyle w:val="ListBullet"/>
            </w:pPr>
            <w:r w:rsidRPr="00A52E77">
              <w:t>applying precautions and implementing risk control measures</w:t>
            </w:r>
          </w:p>
          <w:p w:rsidR="00000000" w:rsidRPr="00A52E77" w:rsidP="00A52E77">
            <w:pPr>
              <w:pStyle w:val="ListBullet"/>
            </w:pPr>
            <w:r w:rsidRPr="00A52E77">
              <w:t>app</w:t>
            </w:r>
            <w:r w:rsidRPr="00A52E77">
              <w:t>lying relevant legislation and workplace procedures</w:t>
            </w:r>
          </w:p>
          <w:p w:rsidR="00000000" w:rsidRPr="00A52E77" w:rsidP="00A52E77">
            <w:pPr>
              <w:pStyle w:val="ListBullet"/>
            </w:pPr>
            <w:r w:rsidRPr="00A52E77">
              <w:t>communicating effectively with others</w:t>
            </w:r>
          </w:p>
          <w:p w:rsidR="00000000" w:rsidRPr="00A52E77" w:rsidP="00A52E77">
            <w:pPr>
              <w:pStyle w:val="ListBullet"/>
            </w:pPr>
            <w:r w:rsidRPr="00A52E77">
              <w:t>completing relevant documentation</w:t>
            </w:r>
          </w:p>
          <w:p w:rsidR="00000000" w:rsidRPr="00A52E77" w:rsidP="00A52E77">
            <w:pPr>
              <w:pStyle w:val="ListBullet"/>
            </w:pPr>
            <w:r w:rsidRPr="00A52E77">
              <w:t>estimating size, shape and special requirements of loads</w:t>
            </w:r>
          </w:p>
          <w:p w:rsidR="00000000" w:rsidRPr="00A52E77" w:rsidP="00A52E77">
            <w:pPr>
              <w:pStyle w:val="ListBullet"/>
            </w:pPr>
            <w:r w:rsidRPr="00A52E77">
              <w:t xml:space="preserve">identifying cargo, container and goods, coding, Australian Dangerous Goods </w:t>
            </w:r>
            <w:r w:rsidRPr="00A52E77">
              <w:t>(ADG) Code and International Maritime Dangerous Goods (IMDG) Code markings and emergency information panels</w:t>
            </w:r>
          </w:p>
          <w:p w:rsidR="00000000" w:rsidRPr="00A52E77" w:rsidP="00A52E77">
            <w:pPr>
              <w:pStyle w:val="ListBullet"/>
            </w:pPr>
            <w:r w:rsidRPr="00A52E77">
              <w:t>identifying, selecting and using relevant equipment, processes and procedures</w:t>
            </w:r>
          </w:p>
          <w:p w:rsidR="00000000" w:rsidRPr="00A52E77" w:rsidP="00A52E77">
            <w:pPr>
              <w:pStyle w:val="ListBullet"/>
            </w:pPr>
            <w:r w:rsidRPr="00A52E77">
              <w:t>implementing contingency plans</w:t>
            </w:r>
          </w:p>
          <w:p w:rsidR="00000000" w:rsidRPr="00A52E77" w:rsidP="00A52E77">
            <w:pPr>
              <w:pStyle w:val="ListBullet"/>
            </w:pPr>
            <w:r w:rsidRPr="00A52E77">
              <w:t>interpreting and following operational instructions and prioritising work</w:t>
            </w:r>
          </w:p>
          <w:p w:rsidR="00000000" w:rsidRPr="00A52E77" w:rsidP="00A52E77">
            <w:pPr>
              <w:pStyle w:val="ListBullet"/>
            </w:pPr>
            <w:r w:rsidRPr="00A52E77">
              <w:t>interpreting relevant instructions, procedures and signs</w:t>
            </w:r>
          </w:p>
          <w:p w:rsidR="00000000" w:rsidRPr="00A52E77" w:rsidP="00A52E77">
            <w:pPr>
              <w:pStyle w:val="ListBullet"/>
            </w:pPr>
            <w:r w:rsidRPr="00A52E77">
              <w:t>modifying activities depending on operational contingencies, risk situations and environments</w:t>
            </w:r>
          </w:p>
          <w:p w:rsidR="00000000" w:rsidRPr="00A52E77" w:rsidP="00A52E77">
            <w:pPr>
              <w:pStyle w:val="ListBullet"/>
            </w:pPr>
            <w:r w:rsidRPr="00A52E77">
              <w:t>monitoring bridge or gantry cra</w:t>
            </w:r>
            <w:r w:rsidRPr="00A52E77">
              <w:t>ne and equipment performance</w:t>
            </w:r>
          </w:p>
          <w:p w:rsidR="00000000" w:rsidRPr="00A52E77" w:rsidP="00A52E77">
            <w:pPr>
              <w:pStyle w:val="ListBullet"/>
            </w:pPr>
            <w:r w:rsidRPr="00A52E77">
              <w:t>monitoring work activities in terms of planned schedule</w:t>
            </w:r>
          </w:p>
          <w:p w:rsidR="00000000" w:rsidRPr="00A52E77" w:rsidP="00A52E77">
            <w:pPr>
              <w:pStyle w:val="ListBullet"/>
            </w:pPr>
            <w:r w:rsidRPr="00A52E77">
              <w:t>operating and adapting to differences in equipment in accordance with workplace procedures</w:t>
            </w:r>
          </w:p>
          <w:p w:rsidR="00000000" w:rsidRPr="00A52E77" w:rsidP="00A52E77">
            <w:pPr>
              <w:pStyle w:val="ListBullet"/>
            </w:pPr>
            <w:r w:rsidRPr="00A52E77">
              <w:t>receiving, acknowledging and sending messages using appropriate communications e</w:t>
            </w:r>
            <w:r w:rsidRPr="00A52E77">
              <w:t>quipment</w:t>
            </w:r>
          </w:p>
          <w:p w:rsidR="00000000" w:rsidRPr="00A52E77" w:rsidP="00A52E77">
            <w:pPr>
              <w:pStyle w:val="ListBullet"/>
            </w:pPr>
            <w:r w:rsidRPr="00A52E77">
              <w:t>reporting and/or rectifying identified problems, faults or malfunctions promptly in accordance with regulatory requirements and workplace procedures</w:t>
            </w:r>
          </w:p>
          <w:p w:rsidR="00000000" w:rsidRPr="00A52E77" w:rsidP="00A52E77">
            <w:pPr>
              <w:pStyle w:val="ListBullet"/>
            </w:pPr>
            <w:r w:rsidRPr="00A52E77">
              <w:t>using personal protective equipment (PPE) in accordance with workplace procedures</w:t>
            </w:r>
          </w:p>
          <w:p w:rsidR="00000000" w:rsidRPr="00A52E77" w:rsidP="00A52E77">
            <w:pPr>
              <w:pStyle w:val="ListBullet"/>
            </w:pPr>
            <w:r w:rsidRPr="00A52E77">
              <w:t>working collabor</w:t>
            </w:r>
            <w:r w:rsidRPr="00A52E77">
              <w:t>atively with others</w:t>
            </w:r>
          </w:p>
          <w:p w:rsidR="00000000" w:rsidRPr="00A52E77" w:rsidP="00A52E77">
            <w:pPr>
              <w:pStyle w:val="ListBullet"/>
            </w:pPr>
            <w:r w:rsidRPr="00A52E77">
              <w:t>working systematically with required attention to detail without injury to self or others, or damage to goods or equipment.</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13" w:name="O_1066931"/>
      <w:bookmarkEnd w:id="13"/>
      <w:r w:rsidRPr="00A52E77">
        <w:t>Knowledge Evidence</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Evidence required to demonstrate competence in this unit must be relevant to and satisfy all of the requirements of the elements and performance criteria and include knowledge of:</w:t>
            </w:r>
          </w:p>
          <w:p w:rsidR="00000000" w:rsidRPr="00A52E77" w:rsidP="00A52E77">
            <w:pPr>
              <w:pStyle w:val="ListBullet"/>
            </w:pPr>
            <w:r w:rsidRPr="00A52E77">
              <w:t>Australian and international codes, regulations and licence/permit requirem</w:t>
            </w:r>
            <w:r w:rsidRPr="00A52E77">
              <w:t>ents relevant for using bridge or gantry crane and equipment to shift loads</w:t>
            </w:r>
          </w:p>
          <w:p w:rsidR="00000000" w:rsidRPr="00A52E77" w:rsidP="00A52E77">
            <w:pPr>
              <w:pStyle w:val="ListBullet"/>
            </w:pPr>
            <w:r w:rsidRPr="00A52E77">
              <w:t>cargo marking and numbering systems</w:t>
            </w:r>
          </w:p>
          <w:p w:rsidR="00000000" w:rsidRPr="00A52E77" w:rsidP="00A52E77">
            <w:pPr>
              <w:pStyle w:val="ListBullet"/>
            </w:pPr>
            <w:r w:rsidRPr="00A52E77">
              <w:t>high-risk work licence requirements for bridge and gantry crane and associated equipment</w:t>
            </w:r>
          </w:p>
          <w:p w:rsidR="00000000" w:rsidRPr="00A52E77" w:rsidP="00A52E77">
            <w:pPr>
              <w:pStyle w:val="ListBullet"/>
            </w:pPr>
            <w:r w:rsidRPr="00A52E77">
              <w:t>operational work systems, equipment, management and sit</w:t>
            </w:r>
            <w:r w:rsidRPr="00A52E77">
              <w:t>e operating systems for using bridge or gantry equipment to shift loads</w:t>
            </w:r>
          </w:p>
          <w:p w:rsidR="00000000" w:rsidRPr="00A52E77" w:rsidP="00A52E77">
            <w:pPr>
              <w:pStyle w:val="ListBullet"/>
            </w:pPr>
            <w:r w:rsidRPr="00A52E77">
              <w:t>problems that may occur and appropriate actions that can be taken to resolve these problems</w:t>
            </w:r>
          </w:p>
          <w:p w:rsidR="00000000" w:rsidRPr="00A52E77" w:rsidP="00A52E77">
            <w:pPr>
              <w:pStyle w:val="ListBullet"/>
            </w:pPr>
            <w:r w:rsidRPr="00A52E77">
              <w:t>relevant approved storage facilities, quarantine or other legislative requirements</w:t>
            </w:r>
          </w:p>
          <w:p w:rsidR="00000000" w:rsidRPr="00A52E77" w:rsidP="00A52E77">
            <w:pPr>
              <w:pStyle w:val="ListBullet"/>
            </w:pPr>
            <w:r w:rsidRPr="00A52E77">
              <w:t xml:space="preserve">relevant </w:t>
            </w:r>
            <w:r w:rsidRPr="00A52E77">
              <w:t>safety codes of practice and emergency response procedures</w:t>
            </w:r>
          </w:p>
          <w:p w:rsidR="00000000" w:rsidRPr="00A52E77" w:rsidP="00A52E77">
            <w:pPr>
              <w:pStyle w:val="ListBullet"/>
            </w:pPr>
            <w:r w:rsidRPr="00A52E77">
              <w:t>relevant work health and safety (WHS)/occupational health and safety (OHS) and environmental protection procedures and guidelines</w:t>
            </w:r>
          </w:p>
          <w:p w:rsidR="00000000" w:rsidRPr="00A52E77" w:rsidP="00A52E77">
            <w:pPr>
              <w:pStyle w:val="ListBullet"/>
            </w:pPr>
            <w:r w:rsidRPr="00A52E77">
              <w:t>requirements for working load limit (WLL) of bridge or gantry crane</w:t>
            </w:r>
            <w:r w:rsidRPr="00A52E77">
              <w:t xml:space="preserve"> and equipment</w:t>
            </w:r>
          </w:p>
          <w:p w:rsidR="00000000" w:rsidRPr="00A52E77" w:rsidP="00A52E77">
            <w:pPr>
              <w:pStyle w:val="ListBullet"/>
            </w:pPr>
            <w:r w:rsidRPr="00A52E77">
              <w:t>types of bridge or gantry crane and equipment used to shift loads in terminals/wharves, their applications and procedures and precautions for their use</w:t>
            </w:r>
          </w:p>
          <w:p w:rsidR="00000000" w:rsidRPr="00A52E77" w:rsidP="00A52E77">
            <w:pPr>
              <w:pStyle w:val="ListBullet"/>
            </w:pPr>
            <w:r w:rsidRPr="00A52E77">
              <w:t>workplace procedures and policies for using bridge or gantry crane and equipment to shift</w:t>
            </w:r>
            <w:r w:rsidRPr="00A52E77">
              <w:t xml:space="preserve"> loads.</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14" w:name="O_1066932"/>
      <w:bookmarkEnd w:id="14"/>
      <w:r w:rsidRPr="00A52E77">
        <w:t>Assessment Conditions</w:t>
      </w:r>
    </w:p>
    <w:tbl>
      <w:tblPr>
        <w:tblW w:w="9497" w:type="dxa"/>
        <w:tblLayout w:type="fixed"/>
        <w:tblCellMar>
          <w:left w:w="62" w:type="dxa"/>
          <w:right w:w="62" w:type="dxa"/>
        </w:tblCellMar>
        <w:tblLook w:val="0000"/>
      </w:tblPr>
      <w:tblGrid>
        <w:gridCol w:w="9497"/>
      </w:tblGrid>
      <w:tr w:rsidTr="00A52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E77" w:rsidP="00A52E77">
            <w:pPr>
              <w:pStyle w:val="BodyText"/>
            </w:pPr>
            <w:r w:rsidRPr="00A52E77">
              <w:t xml:space="preserve">Assessors must hold credentials specified within the Standards for Registered Training Organisations current at the time of assessment. </w:t>
            </w:r>
          </w:p>
          <w:p w:rsidR="00000000" w:rsidRPr="00A52E77" w:rsidP="00A52E77">
            <w:pPr>
              <w:pStyle w:val="BodyText"/>
            </w:pPr>
            <w:r w:rsidRPr="00A52E77">
              <w:t>Assessment must satisfy the Principles of Assessment and Rules of Evidence and all regulatory requirements included within the Standards for Registered Training Organisations current at the time of assessment.</w:t>
            </w:r>
          </w:p>
          <w:p w:rsidR="00000000" w:rsidRPr="00A52E77" w:rsidP="00A52E77">
            <w:pPr>
              <w:pStyle w:val="BodyText"/>
            </w:pPr>
            <w:r w:rsidRPr="00A52E77">
              <w:t>Assessment must occur in workplace operational</w:t>
            </w:r>
            <w:r w:rsidRPr="00A52E77">
              <w:t xml:space="preserve"> situations where it is appropriate to do so; where this is not appropriate, assessment must occur in simulated workplace operational situations that replicate workplace conditions.</w:t>
            </w:r>
          </w:p>
          <w:p w:rsidR="00000000" w:rsidRPr="00A52E77" w:rsidP="00A52E77">
            <w:pPr>
              <w:pStyle w:val="BodyText"/>
            </w:pPr>
            <w:r w:rsidRPr="00A52E77">
              <w:t>Assessment processes and techniques must be appropriate to the language, l</w:t>
            </w:r>
            <w:r w:rsidRPr="00A52E77">
              <w:t>iteracy and numeracy requirements of the work being performed and the needs of the candidate.</w:t>
            </w:r>
          </w:p>
          <w:p w:rsidR="00000000" w:rsidRPr="00A52E77" w:rsidP="00A52E77">
            <w:pPr>
              <w:pStyle w:val="BodyText"/>
            </w:pPr>
            <w:r w:rsidRPr="00A52E77">
              <w:t>Resources for assessment must include:</w:t>
            </w:r>
          </w:p>
          <w:p w:rsidR="00000000" w:rsidRPr="00A52E77" w:rsidP="00A52E77">
            <w:pPr>
              <w:pStyle w:val="ListBullet"/>
            </w:pPr>
            <w:r w:rsidRPr="00A52E77">
              <w:t>relevant materials, tools, equipment and PPE</w:t>
            </w:r>
          </w:p>
          <w:p w:rsidR="00000000" w:rsidRPr="00A52E77" w:rsidP="00A52E77">
            <w:pPr>
              <w:pStyle w:val="ListBullet"/>
            </w:pPr>
            <w:r w:rsidRPr="00A52E77">
              <w:t xml:space="preserve">applicable documentation, including workplace procedures, regulations, codes </w:t>
            </w:r>
            <w:r w:rsidRPr="00A52E77">
              <w:t>of practice and operation manuals.</w:t>
            </w:r>
          </w:p>
        </w:tc>
      </w:tr>
    </w:tbl>
    <w:p w:rsidR="00000000" w:rsidRPr="00A52E77" w:rsidP="00A52E77">
      <w:pPr>
        <w:pStyle w:val="NoPaddingFontSize1"/>
      </w:pPr>
    </w:p>
    <w:p w:rsidR="00000000" w:rsidRPr="00A52E77" w:rsidP="00A52E77">
      <w:pPr>
        <w:pStyle w:val="AllowPageBreak"/>
      </w:pPr>
    </w:p>
    <w:p w:rsidR="00000000" w:rsidRPr="00A52E77" w:rsidP="00A52E77">
      <w:pPr>
        <w:pStyle w:val="Heading1"/>
      </w:pPr>
      <w:bookmarkStart w:id="15" w:name="O_1066935"/>
      <w:bookmarkEnd w:id="15"/>
      <w:r w:rsidRPr="00A52E77">
        <w:t>Links</w:t>
      </w:r>
    </w:p>
    <w:p w:rsidR="00000000" w:rsidRPr="00A52E77" w:rsidP="00EF4348">
      <w:pPr>
        <w:pStyle w:val="BodyText"/>
      </w:pPr>
      <w:r w:rsidRPr="00A52E7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265E">
        <w:rPr>
          <w:rStyle w:val="Hyperlink"/>
        </w:rPr>
        <w:t>https://vetnet.gov.au/Pages/TrainingDocs.aspx?q=df441c6e-213d-43e3-874c-0b3f7036d851</w:t>
      </w:r>
      <w:r>
        <w:fldChar w:fldCharType="end"/>
      </w:r>
    </w:p>
    <w:p w:rsidR="00000000" w:rsidRPr="00A52E77" w:rsidP="00A52E77"/>
    <w:sectPr w:rsidSect="00A52E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7" w:rsidRPr="00EF4348" w:rsidP="00EF43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48" w:rsidP="00A52E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4348" w:rsidP="00A52E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F4348" w:rsidP="00A52E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7" w:rsidP="00A52E77">
    <w:pPr>
      <w:pStyle w:val="Footer"/>
      <w:framePr w:wrap="around"/>
    </w:pPr>
    <w:r>
      <w:fldChar w:fldCharType="begin"/>
    </w:r>
    <w:r>
      <w:instrText xml:space="preserve"> DOCPROPERTY  Subject  \* MERGEFORMAT </w:instrText>
    </w:r>
    <w:r>
      <w:fldChar w:fldCharType="separate"/>
    </w:r>
    <w:r w:rsidR="00EF4348">
      <w:t>Approved</w:t>
    </w:r>
    <w:r w:rsidR="00EF4348">
      <w:fldChar w:fldCharType="end"/>
    </w:r>
    <w:r>
      <w:tab/>
      <w:t xml:space="preserve">Page </w:t>
    </w:r>
    <w:r>
      <w:fldChar w:fldCharType="begin"/>
    </w:r>
    <w:r>
      <w:instrText xml:space="preserve"> PAGE  \* Arabic  \* MERGEFORMAT </w:instrText>
    </w:r>
    <w:r>
      <w:fldChar w:fldCharType="separate"/>
    </w:r>
    <w:r w:rsidR="00EF43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4348">
      <w:rPr>
        <w:noProof/>
      </w:rPr>
      <w:t>4</w:t>
    </w:r>
    <w:r>
      <w:rPr>
        <w:noProof/>
      </w:rPr>
      <w:fldChar w:fldCharType="end"/>
    </w:r>
  </w:p>
  <w:p w:rsidR="00A52E77" w:rsidP="00A52E77">
    <w:pPr>
      <w:pStyle w:val="Footer"/>
      <w:framePr w:wrap="around"/>
    </w:pPr>
    <w:r>
      <w:t xml:space="preserve">© Commonwealth of Australia, </w:t>
    </w:r>
    <w:r>
      <w:fldChar w:fldCharType="begin"/>
    </w:r>
    <w:r>
      <w:instrText xml:space="preserve"> DATE  \@ "yyyy"  \* MERGEFORMAT </w:instrText>
    </w:r>
    <w:r>
      <w:fldChar w:fldCharType="separate"/>
    </w:r>
    <w:r w:rsidR="00EF4348">
      <w:rPr>
        <w:noProof/>
      </w:rPr>
      <w:t>2025</w:t>
    </w:r>
    <w:r>
      <w:fldChar w:fldCharType="end"/>
    </w:r>
    <w:r>
      <w:tab/>
    </w:r>
    <w:r>
      <w:fldChar w:fldCharType="begin"/>
    </w:r>
    <w:r>
      <w:instrText xml:space="preserve"> DOCPROPERTY  Author  \* MERGEFORMAT </w:instrText>
    </w:r>
    <w:r>
      <w:fldChar w:fldCharType="separate"/>
    </w:r>
    <w:r w:rsidR="00EF4348">
      <w:t>Industry Skills Australia</w:t>
    </w:r>
    <w:r w:rsidR="00EF4348">
      <w:fldChar w:fldCharType="end"/>
    </w:r>
  </w:p>
  <w:p w:rsidR="00A52E77" w:rsidP="00A52E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E77" w:rsidRPr="00EF4348" w:rsidP="00EF43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48" w:rsidRPr="002D2AF8" w:rsidP="00A52E77">
    <w:pPr>
      <w:pStyle w:val="Header"/>
      <w:framePr w:wrap="around"/>
    </w:pPr>
    <w:r>
      <w:fldChar w:fldCharType="begin"/>
    </w:r>
    <w:r>
      <w:instrText xml:space="preserve"> TITLE   \* MERGEFORMAT </w:instrText>
    </w:r>
    <w:r>
      <w:fldChar w:fldCharType="separate"/>
    </w:r>
    <w:r>
      <w:t>TLID0008 Shift loads using bridge or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4348" w:rsidP="00A52E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7" w:rsidRPr="002D2AF8" w:rsidP="00A52E77">
    <w:pPr>
      <w:pStyle w:val="Header"/>
      <w:framePr w:wrap="around"/>
    </w:pPr>
    <w:r>
      <w:fldChar w:fldCharType="begin"/>
    </w:r>
    <w:r>
      <w:instrText xml:space="preserve"> TITLE   \* MERGEFORMAT </w:instrText>
    </w:r>
    <w:r>
      <w:fldChar w:fldCharType="separate"/>
    </w:r>
    <w:r w:rsidR="00EF4348">
      <w:t>TLID0008 Shift loads using bridge or gantry crane</w:t>
    </w:r>
    <w:r w:rsidR="00EF4348">
      <w:fldChar w:fldCharType="end"/>
    </w:r>
    <w:r>
      <w:tab/>
      <w:t xml:space="preserve">Date this document was generated: </w:t>
    </w:r>
    <w:r>
      <w:fldChar w:fldCharType="begin"/>
    </w:r>
    <w:r>
      <w:instrText xml:space="preserve"> CREATEDATE  \@ "d MMMM yyyy"  \* MERGEFORMAT </w:instrText>
    </w:r>
    <w:r>
      <w:fldChar w:fldCharType="separate"/>
    </w:r>
    <w:r w:rsidR="00EF4348">
      <w:rPr>
        <w:noProof/>
      </w:rPr>
      <w:t>1 March 2025</w:t>
    </w:r>
    <w:r>
      <w:fldChar w:fldCharType="end"/>
    </w:r>
  </w:p>
  <w:p w:rsidR="00A52E77" w:rsidP="00A52E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DEB0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30B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E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E77"/>
    <w:pPr>
      <w:spacing w:before="360" w:after="60"/>
      <w:outlineLvl w:val="0"/>
    </w:pPr>
    <w:rPr>
      <w:sz w:val="32"/>
    </w:rPr>
  </w:style>
  <w:style w:type="paragraph" w:styleId="Heading2">
    <w:name w:val="heading 2"/>
    <w:basedOn w:val="HeadingBase"/>
    <w:next w:val="BodyText"/>
    <w:link w:val="Heading2Char"/>
    <w:qFormat/>
    <w:rsid w:val="00A52E77"/>
    <w:pPr>
      <w:keepLines/>
      <w:spacing w:before="240" w:after="120"/>
      <w:outlineLvl w:val="1"/>
    </w:pPr>
    <w:rPr>
      <w:sz w:val="28"/>
      <w:szCs w:val="40"/>
    </w:rPr>
  </w:style>
  <w:style w:type="paragraph" w:styleId="Heading3">
    <w:name w:val="heading 3"/>
    <w:basedOn w:val="HeadingBase"/>
    <w:next w:val="BodyText"/>
    <w:link w:val="Heading3Char"/>
    <w:qFormat/>
    <w:rsid w:val="00A52E77"/>
    <w:pPr>
      <w:spacing w:before="180" w:after="120"/>
      <w:outlineLvl w:val="2"/>
    </w:pPr>
    <w:rPr>
      <w:spacing w:val="-10"/>
      <w:kern w:val="32"/>
    </w:rPr>
  </w:style>
  <w:style w:type="paragraph" w:styleId="Heading4">
    <w:name w:val="heading 4"/>
    <w:basedOn w:val="HeadingBase"/>
    <w:next w:val="BodyText"/>
    <w:link w:val="Heading4Char"/>
    <w:qFormat/>
    <w:rsid w:val="00A52E77"/>
    <w:pPr>
      <w:spacing w:before="160" w:after="120"/>
      <w:outlineLvl w:val="3"/>
    </w:pPr>
    <w:rPr>
      <w:sz w:val="22"/>
    </w:rPr>
  </w:style>
  <w:style w:type="paragraph" w:styleId="Heading5">
    <w:name w:val="heading 5"/>
    <w:basedOn w:val="HeadingBase"/>
    <w:next w:val="Normal"/>
    <w:link w:val="Heading5Char"/>
    <w:qFormat/>
    <w:rsid w:val="00A52E77"/>
    <w:pPr>
      <w:spacing w:before="80"/>
      <w:outlineLvl w:val="4"/>
    </w:pPr>
    <w:rPr>
      <w:color w:val="918585"/>
      <w:sz w:val="20"/>
    </w:rPr>
  </w:style>
  <w:style w:type="paragraph" w:styleId="Heading6">
    <w:name w:val="heading 6"/>
    <w:basedOn w:val="HeadingBase"/>
    <w:next w:val="Normal"/>
    <w:link w:val="Heading6Char"/>
    <w:qFormat/>
    <w:rsid w:val="00A52E77"/>
    <w:pPr>
      <w:spacing w:before="60"/>
      <w:outlineLvl w:val="5"/>
    </w:pPr>
    <w:rPr>
      <w:color w:val="918585"/>
      <w:sz w:val="20"/>
    </w:rPr>
  </w:style>
  <w:style w:type="paragraph" w:styleId="Heading7">
    <w:name w:val="heading 7"/>
    <w:basedOn w:val="Normal"/>
    <w:next w:val="Normal"/>
    <w:link w:val="Heading7Char"/>
    <w:qFormat/>
    <w:rsid w:val="00A52E77"/>
    <w:pPr>
      <w:ind w:left="720"/>
      <w:outlineLvl w:val="6"/>
    </w:pPr>
    <w:rPr>
      <w:i/>
    </w:rPr>
  </w:style>
  <w:style w:type="paragraph" w:styleId="Heading8">
    <w:name w:val="heading 8"/>
    <w:basedOn w:val="Normal"/>
    <w:next w:val="Normal"/>
    <w:link w:val="Heading8Char"/>
    <w:qFormat/>
    <w:rsid w:val="00A52E77"/>
    <w:pPr>
      <w:ind w:left="720"/>
      <w:outlineLvl w:val="7"/>
    </w:pPr>
    <w:rPr>
      <w:i/>
    </w:rPr>
  </w:style>
  <w:style w:type="paragraph" w:styleId="Heading9">
    <w:name w:val="heading 9"/>
    <w:basedOn w:val="Normal"/>
    <w:next w:val="Normal"/>
    <w:link w:val="Heading9Char"/>
    <w:qFormat/>
    <w:rsid w:val="00A52E77"/>
    <w:pPr>
      <w:ind w:left="720"/>
      <w:outlineLvl w:val="8"/>
    </w:pPr>
    <w:rPr>
      <w:i/>
    </w:rPr>
  </w:style>
  <w:style w:type="character" w:default="1" w:styleId="DefaultParagraphFont">
    <w:name w:val="Default Paragraph Font"/>
    <w:uiPriority w:val="1"/>
    <w:unhideWhenUsed/>
    <w:rsid w:val="00A52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E77"/>
  </w:style>
  <w:style w:type="character" w:customStyle="1" w:styleId="Heading1Char">
    <w:name w:val="Heading 1 Char"/>
    <w:basedOn w:val="DefaultParagraphFont"/>
    <w:link w:val="Heading1"/>
    <w:rsid w:val="00A52E77"/>
    <w:rPr>
      <w:rFonts w:ascii="Times New Roman" w:eastAsia="Times New Roman" w:hAnsi="Times New Roman" w:cs="Times New Roman"/>
      <w:b/>
      <w:sz w:val="32"/>
      <w:szCs w:val="20"/>
      <w:lang w:eastAsia="en-US"/>
    </w:rPr>
  </w:style>
  <w:style w:type="paragraph" w:styleId="BodyText">
    <w:name w:val="Body Text"/>
    <w:basedOn w:val="Normal"/>
    <w:link w:val="BodyTextChar"/>
    <w:rsid w:val="00A52E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E77"/>
    <w:rPr>
      <w:rFonts w:ascii="Times New Roman" w:eastAsia="Times New Roman" w:hAnsi="Times New Roman" w:cs="Times New Roman"/>
      <w:sz w:val="24"/>
      <w:lang w:eastAsia="en-US"/>
    </w:rPr>
  </w:style>
  <w:style w:type="paragraph" w:styleId="ListBullet">
    <w:name w:val="List Bullet"/>
    <w:basedOn w:val="List"/>
    <w:rsid w:val="00A52E77"/>
    <w:pPr>
      <w:numPr>
        <w:numId w:val="11"/>
      </w:numPr>
      <w:tabs>
        <w:tab w:val="clear" w:pos="340"/>
      </w:tabs>
      <w:spacing w:before="40" w:after="40"/>
    </w:pPr>
  </w:style>
  <w:style w:type="character" w:customStyle="1" w:styleId="SpecialBold">
    <w:name w:val="Special Bold"/>
    <w:basedOn w:val="DefaultParagraphFont"/>
    <w:rsid w:val="00A52E77"/>
    <w:rPr>
      <w:b/>
      <w:spacing w:val="0"/>
    </w:rPr>
  </w:style>
  <w:style w:type="paragraph" w:customStyle="1" w:styleId="SuperHeading">
    <w:name w:val="SuperHeading"/>
    <w:basedOn w:val="Normal"/>
    <w:rsid w:val="00A52E77"/>
    <w:pPr>
      <w:spacing w:before="240" w:after="120"/>
      <w:outlineLvl w:val="0"/>
    </w:pPr>
    <w:rPr>
      <w:rFonts w:ascii="Times New Roman" w:hAnsi="Times New Roman"/>
      <w:b/>
      <w:sz w:val="32"/>
    </w:rPr>
  </w:style>
  <w:style w:type="paragraph" w:customStyle="1" w:styleId="AllowPageBreak">
    <w:name w:val="AllowPageBreak"/>
    <w:rsid w:val="00A52E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2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E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E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E77"/>
    <w:rPr>
      <w:rFonts w:ascii="Courier New" w:eastAsia="Times New Roman" w:hAnsi="Courier New" w:cs="Times New Roman"/>
      <w:i/>
      <w:szCs w:val="20"/>
      <w:lang w:eastAsia="en-US"/>
    </w:rPr>
  </w:style>
  <w:style w:type="paragraph" w:customStyle="1" w:styleId="HeadingBase">
    <w:name w:val="Heading Base"/>
    <w:rsid w:val="00A52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E77"/>
    <w:pPr>
      <w:tabs>
        <w:tab w:val="right" w:leader="dot" w:pos="9072"/>
      </w:tabs>
      <w:ind w:left="567"/>
    </w:pPr>
    <w:rPr>
      <w:szCs w:val="22"/>
    </w:rPr>
  </w:style>
  <w:style w:type="paragraph" w:customStyle="1" w:styleId="TOCBase">
    <w:name w:val="TOC Base"/>
    <w:rsid w:val="00A52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E77"/>
    <w:pPr>
      <w:tabs>
        <w:tab w:val="right" w:leader="dot" w:pos="9072"/>
      </w:tabs>
      <w:spacing w:before="40" w:after="40"/>
      <w:ind w:left="284"/>
    </w:pPr>
    <w:rPr>
      <w:rFonts w:ascii="Times New Roman" w:hAnsi="Times New Roman"/>
    </w:rPr>
  </w:style>
  <w:style w:type="paragraph" w:styleId="TOC1">
    <w:name w:val="toc 1"/>
    <w:basedOn w:val="TOCBase"/>
    <w:next w:val="Normal"/>
    <w:rsid w:val="00A52E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E77"/>
    <w:rPr>
      <w:rFonts w:ascii="Times New Roman" w:eastAsia="Times New Roman" w:hAnsi="Times New Roman" w:cs="Times New Roman"/>
      <w:sz w:val="16"/>
      <w:lang w:eastAsia="en-US"/>
    </w:rPr>
  </w:style>
  <w:style w:type="paragraph" w:styleId="Title">
    <w:name w:val="Title"/>
    <w:basedOn w:val="HeadingBase"/>
    <w:link w:val="TitleChar"/>
    <w:qFormat/>
    <w:rsid w:val="00A52E77"/>
    <w:pPr>
      <w:spacing w:before="5040"/>
      <w:jc w:val="center"/>
    </w:pPr>
    <w:rPr>
      <w:sz w:val="48"/>
      <w:szCs w:val="72"/>
      <w:lang w:val="en-US"/>
    </w:rPr>
  </w:style>
  <w:style w:type="character" w:customStyle="1" w:styleId="TitleChar">
    <w:name w:val="Title Char"/>
    <w:basedOn w:val="DefaultParagraphFont"/>
    <w:link w:val="Title"/>
    <w:rsid w:val="00A52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E77"/>
    <w:pPr>
      <w:tabs>
        <w:tab w:val="left" w:pos="3600"/>
        <w:tab w:val="left" w:pos="3958"/>
      </w:tabs>
    </w:pPr>
  </w:style>
  <w:style w:type="paragraph" w:styleId="List">
    <w:name w:val="List"/>
    <w:basedOn w:val="BodyText"/>
    <w:next w:val="BodyText"/>
    <w:rsid w:val="00A52E77"/>
    <w:pPr>
      <w:tabs>
        <w:tab w:val="left" w:pos="340"/>
      </w:tabs>
      <w:spacing w:before="60" w:after="60"/>
      <w:ind w:left="340" w:hanging="340"/>
    </w:pPr>
  </w:style>
  <w:style w:type="paragraph" w:customStyle="1" w:styleId="Note">
    <w:name w:val="Note"/>
    <w:basedOn w:val="BodyText"/>
    <w:rsid w:val="00A52E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E77"/>
    <w:pPr>
      <w:framePr w:wrap="auto" w:hAnchor="text" w:y="6049"/>
    </w:pPr>
    <w:rPr>
      <w:color w:val="000000"/>
      <w:sz w:val="40"/>
    </w:rPr>
  </w:style>
  <w:style w:type="paragraph" w:customStyle="1" w:styleId="TOCTitle">
    <w:name w:val="TOCTitle"/>
    <w:basedOn w:val="Heading1"/>
    <w:rsid w:val="00A52E77"/>
    <w:pPr>
      <w:spacing w:after="240"/>
      <w:jc w:val="center"/>
      <w:outlineLvl w:val="9"/>
    </w:pPr>
    <w:rPr>
      <w:caps/>
    </w:rPr>
  </w:style>
  <w:style w:type="paragraph" w:customStyle="1" w:styleId="Version">
    <w:name w:val="Version"/>
    <w:rsid w:val="00A52E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2E77"/>
    <w:pPr>
      <w:numPr>
        <w:numId w:val="12"/>
      </w:numPr>
      <w:tabs>
        <w:tab w:val="clear" w:pos="680"/>
      </w:tabs>
    </w:pPr>
  </w:style>
  <w:style w:type="paragraph" w:styleId="Index1">
    <w:name w:val="index 1"/>
    <w:basedOn w:val="Normal"/>
    <w:next w:val="Normal"/>
    <w:semiHidden/>
    <w:rsid w:val="00A52E77"/>
    <w:pPr>
      <w:keepNext w:val="0"/>
      <w:tabs>
        <w:tab w:val="right" w:pos="4176"/>
      </w:tabs>
      <w:ind w:left="198" w:hanging="198"/>
    </w:pPr>
    <w:rPr>
      <w:rFonts w:ascii="Garamond" w:hAnsi="Garamond"/>
    </w:rPr>
  </w:style>
  <w:style w:type="paragraph" w:styleId="IndexHeading">
    <w:name w:val="index heading"/>
    <w:basedOn w:val="Normal"/>
    <w:next w:val="Index1"/>
    <w:semiHidden/>
    <w:rsid w:val="00A52E77"/>
    <w:pPr>
      <w:spacing w:before="120" w:after="120"/>
    </w:pPr>
    <w:rPr>
      <w:rFonts w:ascii="Arial" w:hAnsi="Arial"/>
      <w:b/>
      <w:color w:val="918585"/>
      <w:sz w:val="24"/>
    </w:rPr>
  </w:style>
  <w:style w:type="paragraph" w:styleId="Header">
    <w:name w:val="header"/>
    <w:basedOn w:val="Normal"/>
    <w:link w:val="HeaderChar"/>
    <w:rsid w:val="00A52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E77"/>
    <w:rPr>
      <w:rFonts w:ascii="Times New Roman" w:eastAsia="Times New Roman" w:hAnsi="Times New Roman" w:cs="Times New Roman"/>
      <w:sz w:val="16"/>
      <w:szCs w:val="20"/>
      <w:lang w:val="en-GB" w:eastAsia="en-US"/>
    </w:rPr>
  </w:style>
  <w:style w:type="paragraph" w:customStyle="1" w:styleId="Chapter">
    <w:name w:val="Chapter"/>
    <w:basedOn w:val="Normal"/>
    <w:rsid w:val="00A52E77"/>
    <w:pPr>
      <w:spacing w:before="240"/>
    </w:pPr>
    <w:rPr>
      <w:rFonts w:ascii="Times New Roman" w:hAnsi="Times New Roman"/>
      <w:smallCaps/>
      <w:spacing w:val="80"/>
      <w:sz w:val="28"/>
    </w:rPr>
  </w:style>
  <w:style w:type="paragraph" w:customStyle="1" w:styleId="InChapter">
    <w:name w:val="InChapter"/>
    <w:basedOn w:val="Heading3"/>
    <w:rsid w:val="00A52E77"/>
    <w:pPr>
      <w:spacing w:after="240"/>
      <w:outlineLvl w:val="9"/>
    </w:pPr>
    <w:rPr>
      <w:noProof/>
    </w:rPr>
  </w:style>
  <w:style w:type="paragraph" w:styleId="Index2">
    <w:name w:val="index 2"/>
    <w:basedOn w:val="Normal"/>
    <w:next w:val="Normal"/>
    <w:semiHidden/>
    <w:rsid w:val="00A52E77"/>
    <w:pPr>
      <w:tabs>
        <w:tab w:val="right" w:pos="4176"/>
      </w:tabs>
      <w:ind w:left="568" w:hanging="284"/>
    </w:pPr>
    <w:rPr>
      <w:rFonts w:ascii="Garamond" w:hAnsi="Garamond"/>
    </w:rPr>
  </w:style>
  <w:style w:type="paragraph" w:customStyle="1" w:styleId="Byline">
    <w:name w:val="Byline"/>
    <w:rsid w:val="00A52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E77"/>
    <w:pPr>
      <w:tabs>
        <w:tab w:val="clear" w:pos="3600"/>
        <w:tab w:val="clear" w:pos="3958"/>
      </w:tabs>
      <w:jc w:val="right"/>
    </w:pPr>
  </w:style>
  <w:style w:type="character" w:styleId="Emphasis">
    <w:name w:val="Emphasis"/>
    <w:basedOn w:val="DefaultParagraphFont"/>
    <w:qFormat/>
    <w:rsid w:val="00A52E77"/>
    <w:rPr>
      <w:i/>
    </w:rPr>
  </w:style>
  <w:style w:type="paragraph" w:styleId="Caption">
    <w:name w:val="caption"/>
    <w:basedOn w:val="BodyText"/>
    <w:next w:val="Normal"/>
    <w:qFormat/>
    <w:rsid w:val="00A52E77"/>
    <w:pPr>
      <w:framePr w:w="2268" w:hSpace="181" w:vSpace="181" w:wrap="around" w:vAnchor="text" w:hAnchor="page" w:x="1135" w:y="285" w:anchorLock="1"/>
    </w:pPr>
    <w:rPr>
      <w:i/>
    </w:rPr>
  </w:style>
  <w:style w:type="paragraph" w:customStyle="1" w:styleId="MiniTOCTitle">
    <w:name w:val="MiniTOCTitle"/>
    <w:basedOn w:val="Heading4"/>
    <w:rsid w:val="00A52E77"/>
    <w:pPr>
      <w:spacing w:before="240"/>
      <w:outlineLvl w:val="9"/>
    </w:pPr>
    <w:rPr>
      <w:noProof/>
      <w:sz w:val="24"/>
    </w:rPr>
  </w:style>
  <w:style w:type="paragraph" w:customStyle="1" w:styleId="MiniTOCItem">
    <w:name w:val="MiniTOCItem"/>
    <w:basedOn w:val="ListBullet"/>
    <w:rsid w:val="00A52E77"/>
    <w:pPr>
      <w:numPr>
        <w:numId w:val="0"/>
      </w:numPr>
      <w:tabs>
        <w:tab w:val="right" w:leader="dot" w:pos="6521"/>
      </w:tabs>
      <w:spacing w:before="0" w:after="0"/>
    </w:pPr>
  </w:style>
  <w:style w:type="paragraph" w:customStyle="1" w:styleId="TOFTitle">
    <w:name w:val="TOFTitle"/>
    <w:basedOn w:val="TOCTitle"/>
    <w:rsid w:val="00A52E77"/>
  </w:style>
  <w:style w:type="paragraph" w:styleId="TableofFigures">
    <w:name w:val="table of figures"/>
    <w:basedOn w:val="Normal"/>
    <w:next w:val="Normal"/>
    <w:semiHidden/>
    <w:rsid w:val="00A52E77"/>
    <w:pPr>
      <w:tabs>
        <w:tab w:val="right" w:leader="dot" w:pos="9072"/>
      </w:tabs>
      <w:ind w:left="970" w:hanging="403"/>
    </w:pPr>
    <w:rPr>
      <w:rFonts w:ascii="Times New Roman" w:hAnsi="Times New Roman"/>
      <w:b/>
    </w:rPr>
  </w:style>
  <w:style w:type="paragraph" w:styleId="ListNumber">
    <w:name w:val="List Number"/>
    <w:basedOn w:val="List"/>
    <w:rsid w:val="00A52E77"/>
    <w:pPr>
      <w:numPr>
        <w:numId w:val="14"/>
      </w:numPr>
      <w:tabs>
        <w:tab w:val="clear" w:pos="340"/>
      </w:tabs>
    </w:pPr>
  </w:style>
  <w:style w:type="character" w:customStyle="1" w:styleId="WingdingSymbols">
    <w:name w:val="Wingding Symbols"/>
    <w:rsid w:val="00A52E77"/>
    <w:rPr>
      <w:rFonts w:ascii="Wingdings" w:hAnsi="Wingdings"/>
    </w:rPr>
  </w:style>
  <w:style w:type="paragraph" w:customStyle="1" w:styleId="TableHeading">
    <w:name w:val="Table Heading"/>
    <w:basedOn w:val="HeadingBase"/>
    <w:rsid w:val="00A52E77"/>
    <w:pPr>
      <w:keepLines/>
      <w:pBdr>
        <w:bottom w:val="single" w:sz="6" w:space="1" w:color="918585"/>
      </w:pBdr>
      <w:spacing w:before="240"/>
    </w:pPr>
  </w:style>
  <w:style w:type="character" w:customStyle="1" w:styleId="HotSpot">
    <w:name w:val="HotSpot"/>
    <w:rsid w:val="00A52E77"/>
    <w:rPr>
      <w:color w:val="0033CC"/>
      <w:u w:val="none"/>
    </w:rPr>
  </w:style>
  <w:style w:type="paragraph" w:customStyle="1" w:styleId="BodyTextRight">
    <w:name w:val="Body Text Right"/>
    <w:basedOn w:val="BodyText"/>
    <w:rsid w:val="00A52E77"/>
    <w:pPr>
      <w:spacing w:before="0" w:after="0"/>
      <w:jc w:val="right"/>
    </w:pPr>
  </w:style>
  <w:style w:type="paragraph" w:styleId="Index3">
    <w:name w:val="index 3"/>
    <w:basedOn w:val="ListNumber2"/>
    <w:next w:val="Normal"/>
    <w:semiHidden/>
    <w:rsid w:val="00A52E77"/>
    <w:pPr>
      <w:numPr>
        <w:numId w:val="0"/>
      </w:numPr>
      <w:tabs>
        <w:tab w:val="right" w:leader="dot" w:pos="4176"/>
      </w:tabs>
    </w:pPr>
  </w:style>
  <w:style w:type="paragraph" w:styleId="ListNumber2">
    <w:name w:val="List Number 2"/>
    <w:basedOn w:val="List2"/>
    <w:rsid w:val="00A52E77"/>
    <w:pPr>
      <w:numPr>
        <w:numId w:val="9"/>
      </w:numPr>
      <w:tabs>
        <w:tab w:val="clear" w:pos="1060"/>
      </w:tabs>
    </w:pPr>
  </w:style>
  <w:style w:type="paragraph" w:customStyle="1" w:styleId="MarginNote">
    <w:name w:val="Margin Note"/>
    <w:basedOn w:val="BodyText"/>
    <w:rsid w:val="00A52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E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E77"/>
    <w:rPr>
      <w:sz w:val="32"/>
    </w:rPr>
  </w:style>
  <w:style w:type="paragraph" w:customStyle="1" w:styleId="HeadingProcedure">
    <w:name w:val="Heading Procedure"/>
    <w:basedOn w:val="HeadingBase"/>
    <w:next w:val="Normal"/>
    <w:rsid w:val="00A52E77"/>
    <w:pPr>
      <w:tabs>
        <w:tab w:val="left" w:pos="0"/>
      </w:tabs>
      <w:spacing w:before="120" w:after="60"/>
    </w:pPr>
    <w:rPr>
      <w:i/>
      <w:color w:val="918585"/>
      <w:sz w:val="22"/>
    </w:rPr>
  </w:style>
  <w:style w:type="paragraph" w:customStyle="1" w:styleId="TableBodyText">
    <w:name w:val="Table Body Text"/>
    <w:basedOn w:val="BodyText"/>
    <w:rsid w:val="00A52E77"/>
    <w:pPr>
      <w:spacing w:before="60" w:after="60"/>
    </w:pPr>
  </w:style>
  <w:style w:type="paragraph" w:styleId="ListContinue">
    <w:name w:val="List Continue"/>
    <w:basedOn w:val="List"/>
    <w:rsid w:val="00A52E77"/>
    <w:pPr>
      <w:ind w:firstLine="0"/>
    </w:pPr>
  </w:style>
  <w:style w:type="paragraph" w:customStyle="1" w:styleId="ListNote">
    <w:name w:val="List Note"/>
    <w:basedOn w:val="List"/>
    <w:rsid w:val="00A52E77"/>
    <w:pPr>
      <w:pBdr>
        <w:top w:val="single" w:sz="6" w:space="2" w:color="918585"/>
        <w:bottom w:val="single" w:sz="6" w:space="2" w:color="918585"/>
      </w:pBdr>
      <w:tabs>
        <w:tab w:val="left" w:pos="1021"/>
      </w:tabs>
      <w:ind w:firstLine="0"/>
    </w:pPr>
  </w:style>
  <w:style w:type="paragraph" w:customStyle="1" w:styleId="Warning">
    <w:name w:val="Warning"/>
    <w:basedOn w:val="BodyText"/>
    <w:rsid w:val="00A52E77"/>
    <w:pPr>
      <w:shd w:val="clear" w:color="auto" w:fill="D9D9D9"/>
      <w:tabs>
        <w:tab w:val="left" w:pos="992"/>
      </w:tabs>
      <w:ind w:left="119" w:right="119"/>
    </w:pPr>
    <w:rPr>
      <w:sz w:val="20"/>
    </w:rPr>
  </w:style>
  <w:style w:type="paragraph" w:customStyle="1" w:styleId="MarginIcons">
    <w:name w:val="Margin Icons"/>
    <w:basedOn w:val="BodyText"/>
    <w:rsid w:val="00A52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E77"/>
    <w:rPr>
      <w:rFonts w:ascii="Courier New" w:hAnsi="Courier New"/>
    </w:rPr>
  </w:style>
  <w:style w:type="paragraph" w:customStyle="1" w:styleId="NoteBullet">
    <w:name w:val="Note Bullet"/>
    <w:basedOn w:val="Note"/>
    <w:rsid w:val="00A52E77"/>
    <w:pPr>
      <w:tabs>
        <w:tab w:val="clear" w:pos="680"/>
      </w:tabs>
      <w:spacing w:before="60" w:after="60"/>
    </w:pPr>
  </w:style>
  <w:style w:type="paragraph" w:customStyle="1" w:styleId="SubHeading2">
    <w:name w:val="SubHeading2"/>
    <w:basedOn w:val="HeadingBase"/>
    <w:rsid w:val="00A52E77"/>
    <w:pPr>
      <w:spacing w:before="240" w:after="60"/>
    </w:pPr>
    <w:rPr>
      <w:sz w:val="20"/>
    </w:rPr>
  </w:style>
  <w:style w:type="paragraph" w:customStyle="1" w:styleId="SubHeading1">
    <w:name w:val="SubHeading1"/>
    <w:basedOn w:val="HeadingBase"/>
    <w:rsid w:val="00A52E77"/>
    <w:pPr>
      <w:spacing w:before="240" w:after="60"/>
    </w:pPr>
    <w:rPr>
      <w:color w:val="918585"/>
      <w:sz w:val="22"/>
    </w:rPr>
  </w:style>
  <w:style w:type="paragraph" w:customStyle="1" w:styleId="SideHeading">
    <w:name w:val="Side Heading"/>
    <w:basedOn w:val="HeadingBase"/>
    <w:rsid w:val="00A52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E77"/>
    <w:pPr>
      <w:numPr>
        <w:numId w:val="10"/>
      </w:numPr>
    </w:pPr>
  </w:style>
  <w:style w:type="paragraph" w:styleId="PlainText">
    <w:name w:val="Plain Text"/>
    <w:basedOn w:val="Normal"/>
    <w:link w:val="PlainTextChar"/>
    <w:rsid w:val="00A52E77"/>
    <w:rPr>
      <w:sz w:val="20"/>
    </w:rPr>
  </w:style>
  <w:style w:type="character" w:customStyle="1" w:styleId="PlainTextChar">
    <w:name w:val="Plain Text Char"/>
    <w:basedOn w:val="DefaultParagraphFont"/>
    <w:link w:val="PlainText"/>
    <w:rsid w:val="00A52E77"/>
    <w:rPr>
      <w:rFonts w:ascii="Courier New" w:eastAsia="Times New Roman" w:hAnsi="Courier New" w:cs="Times New Roman"/>
      <w:sz w:val="20"/>
      <w:szCs w:val="20"/>
      <w:lang w:eastAsia="en-US"/>
    </w:rPr>
  </w:style>
  <w:style w:type="character" w:customStyle="1" w:styleId="MenuOption">
    <w:name w:val="Menu Option"/>
    <w:basedOn w:val="DefaultParagraphFont"/>
    <w:rsid w:val="00A52E77"/>
    <w:rPr>
      <w:b/>
      <w:smallCaps/>
    </w:rPr>
  </w:style>
  <w:style w:type="paragraph" w:customStyle="1" w:styleId="TableListNumber">
    <w:name w:val="Table List Number"/>
    <w:basedOn w:val="ListNumber"/>
    <w:rsid w:val="00A52E77"/>
    <w:pPr>
      <w:numPr>
        <w:numId w:val="0"/>
      </w:numPr>
    </w:pPr>
  </w:style>
  <w:style w:type="paragraph" w:styleId="TOC4">
    <w:name w:val="toc 4"/>
    <w:basedOn w:val="TOCBase"/>
    <w:next w:val="Normal"/>
    <w:semiHidden/>
    <w:rsid w:val="00A52E77"/>
    <w:pPr>
      <w:tabs>
        <w:tab w:val="right" w:leader="dot" w:pos="9071"/>
      </w:tabs>
      <w:ind w:left="1701"/>
    </w:pPr>
  </w:style>
  <w:style w:type="paragraph" w:customStyle="1" w:styleId="ListAlpha">
    <w:name w:val="List Alpha"/>
    <w:basedOn w:val="List"/>
    <w:rsid w:val="00A52E77"/>
    <w:pPr>
      <w:numPr>
        <w:numId w:val="8"/>
      </w:numPr>
    </w:pPr>
  </w:style>
  <w:style w:type="paragraph" w:customStyle="1" w:styleId="ListAlpha2">
    <w:name w:val="List Alpha 2"/>
    <w:basedOn w:val="List2"/>
    <w:rsid w:val="00A52E77"/>
    <w:pPr>
      <w:numPr>
        <w:numId w:val="7"/>
      </w:numPr>
    </w:pPr>
  </w:style>
  <w:style w:type="paragraph" w:styleId="List2">
    <w:name w:val="List 2"/>
    <w:basedOn w:val="BodyText"/>
    <w:rsid w:val="00A52E77"/>
    <w:pPr>
      <w:tabs>
        <w:tab w:val="left" w:pos="680"/>
      </w:tabs>
      <w:spacing w:before="60" w:after="60"/>
      <w:ind w:left="680" w:hanging="340"/>
    </w:pPr>
  </w:style>
  <w:style w:type="paragraph" w:styleId="List3">
    <w:name w:val="List 3"/>
    <w:basedOn w:val="BodyText"/>
    <w:rsid w:val="00A52E77"/>
    <w:pPr>
      <w:tabs>
        <w:tab w:val="left" w:pos="1021"/>
      </w:tabs>
      <w:spacing w:before="60" w:after="60"/>
      <w:ind w:left="1020" w:hanging="340"/>
    </w:pPr>
  </w:style>
  <w:style w:type="paragraph" w:styleId="List4">
    <w:name w:val="List 4"/>
    <w:basedOn w:val="BodyText"/>
    <w:rsid w:val="00A52E77"/>
    <w:pPr>
      <w:tabs>
        <w:tab w:val="left" w:pos="1361"/>
      </w:tabs>
      <w:spacing w:before="60" w:after="60"/>
      <w:ind w:left="1361" w:hanging="340"/>
    </w:pPr>
  </w:style>
  <w:style w:type="paragraph" w:styleId="List5">
    <w:name w:val="List 5"/>
    <w:basedOn w:val="BodyText"/>
    <w:rsid w:val="00A52E77"/>
    <w:pPr>
      <w:tabs>
        <w:tab w:val="left" w:pos="1701"/>
      </w:tabs>
      <w:spacing w:before="60" w:after="60"/>
      <w:ind w:left="1701" w:hanging="340"/>
    </w:pPr>
  </w:style>
  <w:style w:type="paragraph" w:styleId="ListBullet3">
    <w:name w:val="List Bullet 3"/>
    <w:basedOn w:val="List3"/>
    <w:rsid w:val="00A52E77"/>
    <w:pPr>
      <w:numPr>
        <w:numId w:val="13"/>
      </w:numPr>
      <w:tabs>
        <w:tab w:val="clear" w:pos="1021"/>
      </w:tabs>
      <w:ind w:left="1037" w:hanging="357"/>
    </w:pPr>
  </w:style>
  <w:style w:type="paragraph" w:styleId="ListBullet4">
    <w:name w:val="List Bullet 4"/>
    <w:basedOn w:val="List4"/>
    <w:rsid w:val="00A52E77"/>
    <w:pPr>
      <w:numPr>
        <w:numId w:val="2"/>
      </w:numPr>
      <w:tabs>
        <w:tab w:val="clear" w:pos="1361"/>
      </w:tabs>
    </w:pPr>
  </w:style>
  <w:style w:type="paragraph" w:styleId="ListBullet5">
    <w:name w:val="List Bullet 5"/>
    <w:basedOn w:val="List5"/>
    <w:rsid w:val="00A52E77"/>
    <w:pPr>
      <w:numPr>
        <w:numId w:val="3"/>
      </w:numPr>
    </w:pPr>
  </w:style>
  <w:style w:type="paragraph" w:styleId="ListContinue2">
    <w:name w:val="List Continue 2"/>
    <w:basedOn w:val="List2"/>
    <w:rsid w:val="00A52E77"/>
    <w:pPr>
      <w:ind w:firstLine="0"/>
    </w:pPr>
  </w:style>
  <w:style w:type="paragraph" w:styleId="ListContinue3">
    <w:name w:val="List Continue 3"/>
    <w:basedOn w:val="List3"/>
    <w:rsid w:val="00A52E77"/>
    <w:pPr>
      <w:ind w:left="1021" w:firstLine="0"/>
    </w:pPr>
  </w:style>
  <w:style w:type="paragraph" w:styleId="ListContinue4">
    <w:name w:val="List Continue 4"/>
    <w:basedOn w:val="List4"/>
    <w:rsid w:val="00A52E77"/>
    <w:pPr>
      <w:ind w:firstLine="0"/>
    </w:pPr>
  </w:style>
  <w:style w:type="paragraph" w:styleId="ListContinue5">
    <w:name w:val="List Continue 5"/>
    <w:basedOn w:val="List5"/>
    <w:rsid w:val="00A52E77"/>
    <w:pPr>
      <w:ind w:firstLine="0"/>
    </w:pPr>
  </w:style>
  <w:style w:type="paragraph" w:styleId="ListNumber3">
    <w:name w:val="List Number 3"/>
    <w:basedOn w:val="List3"/>
    <w:rsid w:val="00A52E77"/>
    <w:pPr>
      <w:numPr>
        <w:numId w:val="4"/>
      </w:numPr>
    </w:pPr>
  </w:style>
  <w:style w:type="paragraph" w:styleId="ListNumber4">
    <w:name w:val="List Number 4"/>
    <w:basedOn w:val="List4"/>
    <w:rsid w:val="00A52E77"/>
    <w:pPr>
      <w:numPr>
        <w:numId w:val="5"/>
      </w:numPr>
    </w:pPr>
  </w:style>
  <w:style w:type="paragraph" w:styleId="ListNumber5">
    <w:name w:val="List Number 5"/>
    <w:basedOn w:val="List5"/>
    <w:rsid w:val="00A52E77"/>
    <w:pPr>
      <w:numPr>
        <w:numId w:val="6"/>
      </w:numPr>
    </w:pPr>
  </w:style>
  <w:style w:type="paragraph" w:styleId="BlockText">
    <w:name w:val="Block Text"/>
    <w:basedOn w:val="Normal"/>
    <w:rsid w:val="00A52E77"/>
    <w:pPr>
      <w:spacing w:after="120"/>
      <w:ind w:left="1440" w:right="1440"/>
    </w:pPr>
  </w:style>
  <w:style w:type="character" w:customStyle="1" w:styleId="Subscript">
    <w:name w:val="Subscript"/>
    <w:basedOn w:val="DefaultParagraphFont"/>
    <w:rsid w:val="00A52E77"/>
    <w:rPr>
      <w:sz w:val="16"/>
      <w:vertAlign w:val="subscript"/>
    </w:rPr>
  </w:style>
  <w:style w:type="character" w:customStyle="1" w:styleId="Superscript">
    <w:name w:val="Superscript"/>
    <w:basedOn w:val="DefaultParagraphFont"/>
    <w:rsid w:val="00A52E77"/>
    <w:rPr>
      <w:sz w:val="16"/>
      <w:vertAlign w:val="superscript"/>
    </w:rPr>
  </w:style>
  <w:style w:type="character" w:customStyle="1" w:styleId="Symbols">
    <w:name w:val="Symbols"/>
    <w:basedOn w:val="DefaultParagraphFont"/>
    <w:rsid w:val="00A52E77"/>
    <w:rPr>
      <w:rFonts w:ascii="Symbol" w:hAnsi="Symbol"/>
    </w:rPr>
  </w:style>
  <w:style w:type="character" w:customStyle="1" w:styleId="MenuOptions">
    <w:name w:val="Menu Options"/>
    <w:basedOn w:val="DefaultParagraphFont"/>
    <w:rsid w:val="00A52E77"/>
    <w:rPr>
      <w:rFonts w:ascii="Arial Narrow" w:hAnsi="Arial Narrow"/>
      <w:smallCaps/>
    </w:rPr>
  </w:style>
  <w:style w:type="character" w:customStyle="1" w:styleId="Buttons">
    <w:name w:val="Buttons"/>
    <w:basedOn w:val="DefaultParagraphFont"/>
    <w:rsid w:val="00A52E77"/>
    <w:rPr>
      <w:b/>
    </w:rPr>
  </w:style>
  <w:style w:type="character" w:customStyle="1" w:styleId="Underlined">
    <w:name w:val="Underlined"/>
    <w:basedOn w:val="DefaultParagraphFont"/>
    <w:rsid w:val="00A52E77"/>
    <w:rPr>
      <w:u w:val="single"/>
    </w:rPr>
  </w:style>
  <w:style w:type="paragraph" w:customStyle="1" w:styleId="TableBodyTextRight">
    <w:name w:val="Table Body Text Right"/>
    <w:basedOn w:val="TableBodyText"/>
    <w:rsid w:val="00A52E77"/>
    <w:pPr>
      <w:widowControl w:val="0"/>
      <w:autoSpaceDE w:val="0"/>
      <w:autoSpaceDN w:val="0"/>
      <w:adjustRightInd w:val="0"/>
      <w:jc w:val="right"/>
    </w:pPr>
    <w:rPr>
      <w:rFonts w:cs="Arial"/>
      <w:szCs w:val="18"/>
    </w:rPr>
  </w:style>
  <w:style w:type="paragraph" w:customStyle="1" w:styleId="CopyrightText">
    <w:name w:val="Copyright Text"/>
    <w:basedOn w:val="BodyText"/>
    <w:rsid w:val="00A52E77"/>
    <w:rPr>
      <w:sz w:val="18"/>
    </w:rPr>
  </w:style>
  <w:style w:type="paragraph" w:customStyle="1" w:styleId="BodySmallRight">
    <w:name w:val="Body Small Right"/>
    <w:basedOn w:val="BodyTextRight"/>
    <w:rsid w:val="00A52E77"/>
    <w:rPr>
      <w:sz w:val="18"/>
      <w:szCs w:val="18"/>
    </w:rPr>
  </w:style>
  <w:style w:type="paragraph" w:customStyle="1" w:styleId="MarginEdition">
    <w:name w:val="Margin Edition"/>
    <w:basedOn w:val="MarginNote"/>
    <w:rsid w:val="00A52E77"/>
    <w:pPr>
      <w:spacing w:before="0" w:after="0"/>
    </w:pPr>
    <w:rPr>
      <w:rFonts w:ascii="Times New Roman" w:hAnsi="Times New Roman"/>
      <w:color w:val="999999"/>
    </w:rPr>
  </w:style>
  <w:style w:type="paragraph" w:customStyle="1" w:styleId="Spacer">
    <w:name w:val="Spacer"/>
    <w:basedOn w:val="Normal"/>
    <w:rsid w:val="00A52E77"/>
    <w:rPr>
      <w:sz w:val="2"/>
      <w:szCs w:val="2"/>
    </w:rPr>
  </w:style>
  <w:style w:type="character" w:customStyle="1" w:styleId="Small">
    <w:name w:val="Small"/>
    <w:basedOn w:val="DefaultParagraphFont"/>
    <w:rsid w:val="00A52E77"/>
    <w:rPr>
      <w:sz w:val="16"/>
    </w:rPr>
  </w:style>
  <w:style w:type="paragraph" w:customStyle="1" w:styleId="WideTable">
    <w:name w:val="Wide Table"/>
    <w:basedOn w:val="Normal"/>
    <w:rsid w:val="00A52E77"/>
    <w:pPr>
      <w:ind w:left="-1418"/>
    </w:pPr>
    <w:rPr>
      <w:sz w:val="2"/>
      <w:szCs w:val="2"/>
    </w:rPr>
  </w:style>
  <w:style w:type="character" w:styleId="PageNumber">
    <w:name w:val="page number"/>
    <w:basedOn w:val="DefaultParagraphFont"/>
    <w:rsid w:val="00A52E77"/>
  </w:style>
  <w:style w:type="paragraph" w:styleId="Quote">
    <w:name w:val="Quote"/>
    <w:basedOn w:val="Heading1"/>
    <w:link w:val="QuoteChar"/>
    <w:qFormat/>
    <w:rsid w:val="00A52E77"/>
    <w:rPr>
      <w:b w:val="0"/>
      <w:sz w:val="72"/>
      <w:szCs w:val="72"/>
      <w:lang w:val="en-NZ"/>
    </w:rPr>
  </w:style>
  <w:style w:type="character" w:customStyle="1" w:styleId="QuoteChar">
    <w:name w:val="Quote Char"/>
    <w:basedOn w:val="DefaultParagraphFont"/>
    <w:link w:val="Quote"/>
    <w:rsid w:val="00A52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E77"/>
    <w:pPr>
      <w:pageBreakBefore/>
    </w:pPr>
  </w:style>
  <w:style w:type="paragraph" w:customStyle="1" w:styleId="Border">
    <w:name w:val="Border"/>
    <w:basedOn w:val="Normal"/>
    <w:qFormat/>
    <w:rsid w:val="00A52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E77"/>
    <w:rPr>
      <w:b/>
      <w:bCs/>
      <w:i/>
      <w:iCs/>
      <w:color w:val="auto"/>
    </w:rPr>
  </w:style>
  <w:style w:type="paragraph" w:styleId="IntenseQuote">
    <w:name w:val="Intense Quote"/>
    <w:basedOn w:val="Normal"/>
    <w:next w:val="Normal"/>
    <w:link w:val="IntenseQuoteChar"/>
    <w:uiPriority w:val="30"/>
    <w:qFormat/>
    <w:rsid w:val="00A52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E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E77"/>
    <w:rPr>
      <w:smallCaps/>
      <w:color w:val="auto"/>
      <w:u w:val="single"/>
    </w:rPr>
  </w:style>
  <w:style w:type="character" w:styleId="IntenseReference">
    <w:name w:val="Intense Reference"/>
    <w:basedOn w:val="DefaultParagraphFont"/>
    <w:uiPriority w:val="32"/>
    <w:qFormat/>
    <w:rsid w:val="00A52E77"/>
    <w:rPr>
      <w:b/>
      <w:bCs/>
      <w:smallCaps/>
      <w:color w:val="auto"/>
      <w:spacing w:val="5"/>
      <w:u w:val="single"/>
    </w:rPr>
  </w:style>
  <w:style w:type="paragraph" w:customStyle="1" w:styleId="2ColumnHeading">
    <w:name w:val="2Column Heading"/>
    <w:basedOn w:val="BodyText"/>
    <w:qFormat/>
    <w:rsid w:val="00A52E77"/>
    <w:pPr>
      <w:spacing w:after="60"/>
      <w:ind w:left="-2268"/>
    </w:pPr>
    <w:rPr>
      <w:b/>
    </w:rPr>
  </w:style>
  <w:style w:type="paragraph" w:customStyle="1" w:styleId="Heading1TOC">
    <w:name w:val="Heading1 TOC"/>
    <w:basedOn w:val="Normal"/>
    <w:qFormat/>
    <w:rsid w:val="00A52E77"/>
    <w:pPr>
      <w:spacing w:before="240" w:after="120"/>
    </w:pPr>
    <w:rPr>
      <w:rFonts w:ascii="Times New Roman" w:hAnsi="Times New Roman"/>
      <w:b/>
      <w:sz w:val="32"/>
    </w:rPr>
  </w:style>
  <w:style w:type="paragraph" w:customStyle="1" w:styleId="Heading2TOC">
    <w:name w:val="Heading2 TOC"/>
    <w:basedOn w:val="Normal"/>
    <w:qFormat/>
    <w:rsid w:val="00A52E77"/>
    <w:pPr>
      <w:spacing w:before="240" w:after="60"/>
    </w:pPr>
    <w:rPr>
      <w:rFonts w:ascii="Times New Roman" w:hAnsi="Times New Roman"/>
      <w:b/>
      <w:sz w:val="28"/>
    </w:rPr>
  </w:style>
  <w:style w:type="character" w:customStyle="1" w:styleId="Underline">
    <w:name w:val="Underline"/>
    <w:basedOn w:val="DefaultParagraphFont"/>
    <w:qFormat/>
    <w:rsid w:val="00A52E77"/>
    <w:rPr>
      <w:u w:val="single"/>
    </w:rPr>
  </w:style>
  <w:style w:type="character" w:customStyle="1" w:styleId="BoldandItalics">
    <w:name w:val="Bold and Italics"/>
    <w:qFormat/>
    <w:rsid w:val="00A52E77"/>
    <w:rPr>
      <w:b/>
      <w:i/>
      <w:u w:val="none"/>
    </w:rPr>
  </w:style>
  <w:style w:type="paragraph" w:styleId="BalloonText">
    <w:name w:val="Balloon Text"/>
    <w:basedOn w:val="Normal"/>
    <w:link w:val="BalloonTextChar"/>
    <w:rsid w:val="00A52E77"/>
    <w:rPr>
      <w:rFonts w:ascii="Tahoma" w:hAnsi="Tahoma" w:cs="Tahoma"/>
      <w:sz w:val="16"/>
      <w:szCs w:val="16"/>
    </w:rPr>
  </w:style>
  <w:style w:type="character" w:customStyle="1" w:styleId="BalloonTextChar">
    <w:name w:val="Balloon Text Char"/>
    <w:basedOn w:val="DefaultParagraphFont"/>
    <w:link w:val="BalloonText"/>
    <w:rsid w:val="00A52E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E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E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E77"/>
    <w:rPr>
      <w:b/>
      <w:color w:val="660033"/>
      <w:spacing w:val="0"/>
    </w:rPr>
  </w:style>
  <w:style w:type="paragraph" w:customStyle="1" w:styleId="Nameditemlist">
    <w:name w:val="Named item list"/>
    <w:basedOn w:val="BodyText"/>
    <w:qFormat/>
    <w:rsid w:val="00A52E77"/>
    <w:pPr>
      <w:tabs>
        <w:tab w:val="left" w:pos="2835"/>
      </w:tabs>
      <w:ind w:left="2835" w:hanging="2835"/>
    </w:pPr>
  </w:style>
  <w:style w:type="paragraph" w:customStyle="1" w:styleId="BodyTextnopadding">
    <w:name w:val="Body Text no padding"/>
    <w:basedOn w:val="BodyText"/>
    <w:qFormat/>
    <w:rsid w:val="00A52E77"/>
    <w:pPr>
      <w:spacing w:before="0" w:after="0"/>
    </w:pPr>
  </w:style>
  <w:style w:type="paragraph" w:customStyle="1" w:styleId="BodyTextBold">
    <w:name w:val="Body Text Bold"/>
    <w:basedOn w:val="BodyText"/>
    <w:qFormat/>
    <w:rsid w:val="00A52E77"/>
    <w:rPr>
      <w:b/>
    </w:rPr>
  </w:style>
  <w:style w:type="character" w:styleId="Hyperlink">
    <w:name w:val="Hyperlink"/>
    <w:basedOn w:val="DefaultParagraphFont"/>
    <w:uiPriority w:val="99"/>
    <w:unhideWhenUsed/>
    <w:rsid w:val="00EF43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1280</Words>
  <Characters>8066</Characters>
  <Application>Microsoft Office Word</Application>
  <DocSecurity>0</DocSecurity>
  <Lines>298</Lines>
  <Paragraphs>161</Paragraphs>
  <ScaleCrop>false</ScaleCrop>
  <Company>Author-it Software Corporation Ltd.</Company>
  <LinksUpToDate>false</LinksUpToDate>
  <CharactersWithSpaces>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TLID0008 Shift loads using bridge or gantry crane</dc:title>
  <dc:subject>Approved</dc:subject>
  <dc:creator>Industry Skills Australia</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