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E15" w:rsidP="00F32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TLID0004 Direct crane operations</w:t>
      </w:r>
      <w:r>
        <w:fldChar w:fldCharType="end"/>
      </w:r>
    </w:p>
    <w:p w:rsidR="00F32E15" w:rsidP="00F32E15">
      <w:pPr>
        <w:pStyle w:val="Version"/>
        <w:sectPr w:rsidSect="00A93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AD1" w:rsidP="00A93AD1">
      <w:pPr>
        <w:pStyle w:val="SuperHeading"/>
      </w:pPr>
      <w:r w:rsidRPr="00A93AD1">
        <w:t>TLID0004 Direct crane operations</w:t>
      </w:r>
    </w:p>
    <w:p w:rsidR="00000000" w:rsidRPr="00A93AD1" w:rsidP="00A93AD1">
      <w:pPr>
        <w:pStyle w:val="Heading1"/>
      </w:pPr>
      <w:bookmarkStart w:id="1" w:name="O_1066843"/>
      <w:bookmarkEnd w:id="1"/>
      <w:r w:rsidRPr="00A93A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 xml:space="preserve">Release 1. </w:t>
            </w:r>
            <w:r w:rsidRPr="00A93AD1">
              <w:t>This is the first release of this unit of competency in the TLI Transport and Logistics Training Package.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2" w:name="O_1066844"/>
      <w:bookmarkEnd w:id="2"/>
      <w:r w:rsidRPr="00A93A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This unit involves the skills and knowledge required to direct crane operations in ac</w:t>
            </w:r>
            <w:r w:rsidRPr="00A93AD1">
              <w:t>cordance with workplace and regulatory requirements as part of work activities in the stevedoring, transport, distribution and allied industries.</w:t>
            </w:r>
          </w:p>
          <w:p w:rsidR="00000000" w:rsidRPr="00A93AD1" w:rsidP="00A93AD1">
            <w:pPr>
              <w:pStyle w:val="BodyText"/>
            </w:pPr>
            <w:r w:rsidRPr="00A93AD1">
              <w:t>It includes checking work area, checking cargo, receiving and interpreting directions, anticipating cargo tran</w:t>
            </w:r>
            <w:r w:rsidRPr="00A93AD1">
              <w:t>sfer sequence, directing crane operators and transferring loads in accordance with job requirements.</w:t>
            </w:r>
          </w:p>
          <w:p w:rsidR="00000000" w:rsidRPr="00A93AD1" w:rsidP="00A93AD1">
            <w:pPr>
              <w:pStyle w:val="BodyText"/>
            </w:pPr>
            <w:r w:rsidRPr="00A93AD1">
              <w:t>Work is performed under some supervision generally within a team environment.</w:t>
            </w:r>
          </w:p>
          <w:p w:rsidR="00000000" w:rsidRPr="00A93AD1" w:rsidP="00A93AD1">
            <w:pPr>
              <w:pStyle w:val="BodyText"/>
            </w:pPr>
            <w:r w:rsidRPr="00A93AD1">
              <w:t>No licensing, legislative or certification requirements apply to this unit at</w:t>
            </w:r>
            <w:r w:rsidRPr="00A93AD1">
              <w:t xml:space="preserve"> the time of publication.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3" w:name="O_1066845"/>
      <w:bookmarkEnd w:id="3"/>
      <w:r w:rsidRPr="00A93A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Not applicable.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4" w:name="O_1066846"/>
      <w:bookmarkEnd w:id="4"/>
      <w:r w:rsidRPr="00A93A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D – Load Handling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5" w:name="O_1066847"/>
      <w:bookmarkEnd w:id="5"/>
      <w:r w:rsidRPr="00A93A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Stevedore sector.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6" w:name="O_1066848"/>
      <w:bookmarkEnd w:id="6"/>
      <w:r w:rsidRPr="00A93A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PERFORMANCE CRITERIA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Performance criteria describe the performance needed to demonstrate achievement of the element.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>Prepare for crane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Work area is inspected for compliance with relevant safety codes, national standards, legislation and workplace procedures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Hazards are identified, risks are assessed and control measures implemented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Unsafe work areas are reported to appropriate personnel in accordance with workplace procedures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Communication method to be used is confirmed and tested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Cargo is identified and checked to ensure safe to handle in accordance with workplace proc</w:t>
            </w:r>
            <w:r w:rsidRPr="00A93AD1">
              <w:t>edures and equipment limitations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Unsafe, damaged or hazardous cargo is identified and reported to appropriate personnel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rPr>
                <w:rStyle w:val="SpecialBold"/>
              </w:rPr>
              <w:t>Direct crane operators and transfer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Crane operator is directed to cargo location and cargo is transferred in accorda</w:t>
            </w:r>
            <w:r w:rsidRPr="00A93AD1">
              <w:t>nce with lift plan and workplace procedures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Directions to crane operator are confirmed to ensure any unclear instructions are clarified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t>Contingency plan is identified and implemented, as required, in accordance with workplace procedures</w:t>
            </w:r>
          </w:p>
        </w:tc>
      </w:tr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D1">
            <w:pPr>
              <w:pStyle w:val="BodyText"/>
              <w:rPr>
                <w:lang w:val="en-NZ"/>
              </w:rPr>
            </w:pPr>
            <w:r w:rsidRPr="00A93A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 xml:space="preserve">Crane operators are alerted to unsafe conditions, safety incidents and emergencies in accordance with workplace procedures 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7" w:name="O_1066849"/>
      <w:bookmarkEnd w:id="7"/>
      <w:r w:rsidRPr="00A93A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Foundation skills essential to performance are explicit in the performance criteria of this unit of competency.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8" w:name="O_1066850"/>
      <w:bookmarkEnd w:id="8"/>
      <w:r w:rsidRPr="00A93A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Range is restricted to essential operatin</w:t>
            </w:r>
            <w:r w:rsidRPr="00A93AD1">
              <w:t>g conditions and any other variables essential to the work environment.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9" w:name="O_1066851"/>
      <w:bookmarkEnd w:id="9"/>
      <w:r w:rsidRPr="00A93A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D1" w:rsidP="00A93AD1">
            <w:pPr>
              <w:pStyle w:val="BodyText"/>
            </w:pPr>
            <w:r w:rsidRPr="00A93AD1">
              <w:t>This unit replaces and is equivalent to TLID4009 Direct crane operations.</w:t>
            </w:r>
          </w:p>
        </w:tc>
      </w:tr>
    </w:tbl>
    <w:p w:rsidR="00000000" w:rsidRPr="00A93AD1" w:rsidP="00A93AD1">
      <w:pPr>
        <w:pStyle w:val="NoPaddingFontSize1"/>
      </w:pPr>
    </w:p>
    <w:p w:rsidR="00000000" w:rsidRPr="00A93AD1" w:rsidP="00A93AD1">
      <w:pPr>
        <w:pStyle w:val="AllowPageBreak"/>
      </w:pPr>
    </w:p>
    <w:p w:rsidR="00000000" w:rsidRPr="00A93AD1" w:rsidP="00A93AD1">
      <w:pPr>
        <w:pStyle w:val="Heading1"/>
      </w:pPr>
      <w:bookmarkStart w:id="10" w:name="O_1066858"/>
      <w:bookmarkEnd w:id="10"/>
      <w:r w:rsidRPr="00A93AD1">
        <w:t>Links</w:t>
      </w:r>
    </w:p>
    <w:p w:rsidR="00000000" w:rsidRPr="00A93AD1" w:rsidP="00F32E15">
      <w:pPr>
        <w:pStyle w:val="BodyText"/>
      </w:pPr>
      <w:r w:rsidRPr="00A93AD1">
        <w:t>Companion Volume Implementation Guide</w:t>
      </w:r>
      <w:r w:rsidRPr="00A93AD1">
        <w:t xml:space="preserve">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51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3AD1" w:rsidP="00A93AD1"/>
    <w:sectPr w:rsidSect="00A93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D1" w:rsidRPr="00F32E15" w:rsidP="00F32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15" w:rsidP="00A93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E15" w:rsidP="00A93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2E15" w:rsidP="00A93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AD1" w:rsidRPr="00F32E15" w:rsidP="00F32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15" w:rsidRPr="002D2AF8" w:rsidP="00A93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TLID0004 Direct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2E15" w:rsidP="00A93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AD1"/>
  </w:style>
  <w:style w:type="character" w:customStyle="1" w:styleId="Heading1Char">
    <w:name w:val="Heading 1 Char"/>
    <w:basedOn w:val="DefaultParagraphFont"/>
    <w:link w:val="Heading1"/>
    <w:rsid w:val="00A93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A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3AD1"/>
    <w:rPr>
      <w:b/>
      <w:spacing w:val="0"/>
    </w:rPr>
  </w:style>
  <w:style w:type="paragraph" w:customStyle="1" w:styleId="SuperHeading">
    <w:name w:val="SuperHeading"/>
    <w:basedOn w:val="Normal"/>
    <w:rsid w:val="00A93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3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A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3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A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AD1"/>
    <w:rPr>
      <w:i/>
    </w:rPr>
  </w:style>
  <w:style w:type="paragraph" w:styleId="Caption">
    <w:name w:val="caption"/>
    <w:basedOn w:val="BodyText"/>
    <w:next w:val="Normal"/>
    <w:qFormat/>
    <w:rsid w:val="00A93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AD1"/>
  </w:style>
  <w:style w:type="paragraph" w:styleId="TableofFigures">
    <w:name w:val="table of figures"/>
    <w:basedOn w:val="Normal"/>
    <w:next w:val="Normal"/>
    <w:semiHidden/>
    <w:rsid w:val="00A93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A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3AD1"/>
    <w:rPr>
      <w:rFonts w:ascii="Wingdings" w:hAnsi="Wingdings"/>
    </w:rPr>
  </w:style>
  <w:style w:type="paragraph" w:customStyle="1" w:styleId="TableHeading">
    <w:name w:val="Table Heading"/>
    <w:basedOn w:val="HeadingBase"/>
    <w:rsid w:val="00A93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AD1"/>
    <w:rPr>
      <w:color w:val="0033CC"/>
      <w:u w:val="none"/>
    </w:rPr>
  </w:style>
  <w:style w:type="paragraph" w:customStyle="1" w:styleId="BodyTextRight">
    <w:name w:val="Body Text Right"/>
    <w:basedOn w:val="BodyText"/>
    <w:rsid w:val="00A93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A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AD1"/>
    <w:rPr>
      <w:sz w:val="32"/>
    </w:rPr>
  </w:style>
  <w:style w:type="paragraph" w:customStyle="1" w:styleId="HeadingProcedure">
    <w:name w:val="Heading Procedure"/>
    <w:basedOn w:val="HeadingBase"/>
    <w:next w:val="Normal"/>
    <w:rsid w:val="00A93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AD1"/>
    <w:pPr>
      <w:spacing w:before="60" w:after="60"/>
    </w:pPr>
  </w:style>
  <w:style w:type="paragraph" w:styleId="ListContinue">
    <w:name w:val="List Continue"/>
    <w:basedOn w:val="List"/>
    <w:rsid w:val="00A93AD1"/>
    <w:pPr>
      <w:ind w:firstLine="0"/>
    </w:pPr>
  </w:style>
  <w:style w:type="paragraph" w:customStyle="1" w:styleId="ListNote">
    <w:name w:val="List Note"/>
    <w:basedOn w:val="List"/>
    <w:rsid w:val="00A93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AD1"/>
    <w:rPr>
      <w:rFonts w:ascii="Courier New" w:hAnsi="Courier New"/>
    </w:rPr>
  </w:style>
  <w:style w:type="paragraph" w:customStyle="1" w:styleId="NoteBullet">
    <w:name w:val="Note Bullet"/>
    <w:basedOn w:val="Note"/>
    <w:rsid w:val="00A93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A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3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AD1"/>
    <w:rPr>
      <w:b/>
      <w:smallCaps/>
    </w:rPr>
  </w:style>
  <w:style w:type="paragraph" w:customStyle="1" w:styleId="TableListNumber">
    <w:name w:val="Table List Number"/>
    <w:basedOn w:val="ListNumber"/>
    <w:rsid w:val="00A93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AD1"/>
    <w:pPr>
      <w:numPr>
        <w:numId w:val="7"/>
      </w:numPr>
    </w:pPr>
  </w:style>
  <w:style w:type="paragraph" w:customStyle="1" w:styleId="ListAlpha2">
    <w:name w:val="List Alpha 2"/>
    <w:basedOn w:val="List2"/>
    <w:rsid w:val="00A93AD1"/>
    <w:pPr>
      <w:numPr>
        <w:numId w:val="6"/>
      </w:numPr>
    </w:pPr>
  </w:style>
  <w:style w:type="paragraph" w:styleId="List2">
    <w:name w:val="List 2"/>
    <w:basedOn w:val="BodyText"/>
    <w:rsid w:val="00A93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A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A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3AD1"/>
    <w:pPr>
      <w:numPr>
        <w:numId w:val="2"/>
      </w:numPr>
    </w:pPr>
  </w:style>
  <w:style w:type="paragraph" w:styleId="ListContinue2">
    <w:name w:val="List Continue 2"/>
    <w:basedOn w:val="List2"/>
    <w:rsid w:val="00A93AD1"/>
    <w:pPr>
      <w:ind w:firstLine="0"/>
    </w:pPr>
  </w:style>
  <w:style w:type="paragraph" w:styleId="ListContinue3">
    <w:name w:val="List Continue 3"/>
    <w:basedOn w:val="List3"/>
    <w:rsid w:val="00A93AD1"/>
    <w:pPr>
      <w:ind w:left="1021" w:firstLine="0"/>
    </w:pPr>
  </w:style>
  <w:style w:type="paragraph" w:styleId="ListContinue4">
    <w:name w:val="List Continue 4"/>
    <w:basedOn w:val="List4"/>
    <w:rsid w:val="00A93AD1"/>
    <w:pPr>
      <w:ind w:firstLine="0"/>
    </w:pPr>
  </w:style>
  <w:style w:type="paragraph" w:styleId="ListContinue5">
    <w:name w:val="List Continue 5"/>
    <w:basedOn w:val="List5"/>
    <w:rsid w:val="00A93AD1"/>
    <w:pPr>
      <w:ind w:firstLine="0"/>
    </w:pPr>
  </w:style>
  <w:style w:type="paragraph" w:styleId="ListNumber3">
    <w:name w:val="List Number 3"/>
    <w:basedOn w:val="List3"/>
    <w:rsid w:val="00A93AD1"/>
    <w:pPr>
      <w:numPr>
        <w:numId w:val="3"/>
      </w:numPr>
    </w:pPr>
  </w:style>
  <w:style w:type="paragraph" w:styleId="ListNumber4">
    <w:name w:val="List Number 4"/>
    <w:basedOn w:val="List4"/>
    <w:rsid w:val="00A93AD1"/>
    <w:pPr>
      <w:numPr>
        <w:numId w:val="4"/>
      </w:numPr>
    </w:pPr>
  </w:style>
  <w:style w:type="paragraph" w:styleId="ListNumber5">
    <w:name w:val="List Number 5"/>
    <w:basedOn w:val="List5"/>
    <w:rsid w:val="00A93AD1"/>
    <w:pPr>
      <w:numPr>
        <w:numId w:val="5"/>
      </w:numPr>
    </w:pPr>
  </w:style>
  <w:style w:type="paragraph" w:styleId="BlockText">
    <w:name w:val="Block Text"/>
    <w:basedOn w:val="Normal"/>
    <w:rsid w:val="00A93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AD1"/>
    <w:rPr>
      <w:sz w:val="16"/>
      <w:vertAlign w:val="superscript"/>
    </w:rPr>
  </w:style>
  <w:style w:type="character" w:customStyle="1" w:styleId="Symbols">
    <w:name w:val="Symbols"/>
    <w:basedOn w:val="DefaultParagraphFont"/>
    <w:rsid w:val="00A93AD1"/>
    <w:rPr>
      <w:rFonts w:ascii="Symbol" w:hAnsi="Symbol"/>
    </w:rPr>
  </w:style>
  <w:style w:type="character" w:customStyle="1" w:styleId="MenuOptions">
    <w:name w:val="Menu Options"/>
    <w:basedOn w:val="DefaultParagraphFont"/>
    <w:rsid w:val="00A93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AD1"/>
    <w:rPr>
      <w:b/>
    </w:rPr>
  </w:style>
  <w:style w:type="character" w:customStyle="1" w:styleId="Underlined">
    <w:name w:val="Underlined"/>
    <w:basedOn w:val="DefaultParagraphFont"/>
    <w:rsid w:val="00A93AD1"/>
    <w:rPr>
      <w:u w:val="single"/>
    </w:rPr>
  </w:style>
  <w:style w:type="paragraph" w:customStyle="1" w:styleId="TableBodyTextRight">
    <w:name w:val="Table Body Text Right"/>
    <w:basedOn w:val="TableBodyText"/>
    <w:rsid w:val="00A93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AD1"/>
    <w:rPr>
      <w:sz w:val="18"/>
    </w:rPr>
  </w:style>
  <w:style w:type="paragraph" w:customStyle="1" w:styleId="BodySmallRight">
    <w:name w:val="Body Small Right"/>
    <w:basedOn w:val="BodyTextRight"/>
    <w:rsid w:val="00A93AD1"/>
    <w:rPr>
      <w:sz w:val="18"/>
      <w:szCs w:val="18"/>
    </w:rPr>
  </w:style>
  <w:style w:type="paragraph" w:customStyle="1" w:styleId="MarginEdition">
    <w:name w:val="Margin Edition"/>
    <w:basedOn w:val="MarginNote"/>
    <w:rsid w:val="00A93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AD1"/>
    <w:rPr>
      <w:sz w:val="2"/>
      <w:szCs w:val="2"/>
    </w:rPr>
  </w:style>
  <w:style w:type="character" w:customStyle="1" w:styleId="Small">
    <w:name w:val="Small"/>
    <w:basedOn w:val="DefaultParagraphFont"/>
    <w:rsid w:val="00A93AD1"/>
    <w:rPr>
      <w:sz w:val="16"/>
    </w:rPr>
  </w:style>
  <w:style w:type="paragraph" w:customStyle="1" w:styleId="WideTable">
    <w:name w:val="Wide Table"/>
    <w:basedOn w:val="Normal"/>
    <w:rsid w:val="00A93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AD1"/>
  </w:style>
  <w:style w:type="paragraph" w:styleId="Quote">
    <w:name w:val="Quote"/>
    <w:basedOn w:val="Heading1"/>
    <w:link w:val="QuoteChar"/>
    <w:qFormat/>
    <w:rsid w:val="00A93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AD1"/>
    <w:pPr>
      <w:pageBreakBefore/>
    </w:pPr>
  </w:style>
  <w:style w:type="paragraph" w:customStyle="1" w:styleId="Border">
    <w:name w:val="Border"/>
    <w:basedOn w:val="Normal"/>
    <w:qFormat/>
    <w:rsid w:val="00A93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AD1"/>
    <w:rPr>
      <w:u w:val="single"/>
    </w:rPr>
  </w:style>
  <w:style w:type="character" w:customStyle="1" w:styleId="BoldandItalics">
    <w:name w:val="Bold and Italics"/>
    <w:qFormat/>
    <w:rsid w:val="00A93AD1"/>
    <w:rPr>
      <w:b/>
      <w:i/>
      <w:u w:val="none"/>
    </w:rPr>
  </w:style>
  <w:style w:type="paragraph" w:styleId="BalloonText">
    <w:name w:val="Balloon Text"/>
    <w:basedOn w:val="Normal"/>
    <w:link w:val="BalloonTextChar"/>
    <w:rsid w:val="00A93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AD1"/>
    <w:pPr>
      <w:spacing w:before="0" w:after="0"/>
    </w:pPr>
  </w:style>
  <w:style w:type="paragraph" w:customStyle="1" w:styleId="BodyTextBold">
    <w:name w:val="Body Text Bold"/>
    <w:basedOn w:val="BodyText"/>
    <w:qFormat/>
    <w:rsid w:val="00A93AD1"/>
    <w:rPr>
      <w:b/>
    </w:rPr>
  </w:style>
  <w:style w:type="character" w:styleId="Hyperlink">
    <w:name w:val="Hyperlink"/>
    <w:basedOn w:val="DefaultParagraphFont"/>
    <w:uiPriority w:val="99"/>
    <w:unhideWhenUsed/>
    <w:rsid w:val="00F32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2601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TLID0004 Direct crane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