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23CE" w:rsidP="008823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TLID0003 Control lift and movement of crane</w:t>
      </w:r>
      <w:r>
        <w:fldChar w:fldCharType="end"/>
      </w:r>
    </w:p>
    <w:p w:rsidR="008823CE" w:rsidP="008823CE">
      <w:pPr>
        <w:pStyle w:val="Version"/>
        <w:sectPr w:rsidSect="009D1E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1E24" w:rsidP="009D1E24">
      <w:pPr>
        <w:pStyle w:val="SuperHeading"/>
      </w:pPr>
      <w:r w:rsidRPr="009D1E24">
        <w:t>TLID0003 Control lift and movement of crane</w:t>
      </w:r>
    </w:p>
    <w:p w:rsidR="00000000" w:rsidRPr="009D1E24" w:rsidP="009D1E24">
      <w:pPr>
        <w:pStyle w:val="Heading1"/>
      </w:pPr>
      <w:bookmarkStart w:id="1" w:name="O_1066824"/>
      <w:bookmarkEnd w:id="1"/>
      <w:r w:rsidRPr="009D1E2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1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24" w:rsidP="009D1E24">
            <w:pPr>
              <w:pStyle w:val="BodyText"/>
            </w:pPr>
            <w:r w:rsidRPr="009D1E24">
              <w:rPr>
                <w:rStyle w:val="SpecialBold"/>
              </w:rPr>
              <w:t xml:space="preserve">Release 1. </w:t>
            </w:r>
            <w:r w:rsidRPr="009D1E24">
              <w:t>This is the first release of this unit of competency in the TLI Transport and Logistics Training Package.</w:t>
            </w:r>
          </w:p>
        </w:tc>
      </w:tr>
    </w:tbl>
    <w:p w:rsidR="00000000" w:rsidRPr="009D1E24" w:rsidP="009D1E24">
      <w:pPr>
        <w:pStyle w:val="NoPaddingFontSize1"/>
      </w:pPr>
    </w:p>
    <w:p w:rsidR="00000000" w:rsidRPr="009D1E24" w:rsidP="009D1E24">
      <w:pPr>
        <w:pStyle w:val="AllowPageBreak"/>
      </w:pPr>
    </w:p>
    <w:p w:rsidR="00000000" w:rsidRPr="009D1E24" w:rsidP="009D1E24">
      <w:pPr>
        <w:pStyle w:val="Heading1"/>
      </w:pPr>
      <w:bookmarkStart w:id="2" w:name="O_1066825"/>
      <w:bookmarkEnd w:id="2"/>
      <w:r w:rsidRPr="009D1E2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1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24" w:rsidP="009D1E24">
            <w:pPr>
              <w:pStyle w:val="BodyText"/>
            </w:pPr>
            <w:r w:rsidRPr="009D1E24">
              <w:t>This unit involves the skills and knowledge required to control the lift and</w:t>
            </w:r>
            <w:r w:rsidRPr="009D1E24">
              <w:t xml:space="preserve"> movement of a crane when the load is out of the crane operator’s view in accordance with workplace principles, procedures and regulations.</w:t>
            </w:r>
          </w:p>
          <w:p w:rsidR="00000000" w:rsidRPr="009D1E24" w:rsidP="009D1E24">
            <w:pPr>
              <w:pStyle w:val="BodyText"/>
            </w:pPr>
            <w:r w:rsidRPr="009D1E24">
              <w:t>It includes providing lift instructions to the crane operator using appropriate communication methods, monitoring th</w:t>
            </w:r>
            <w:r w:rsidRPr="009D1E24">
              <w:t>e lift, and placing and securing a load.</w:t>
            </w:r>
          </w:p>
          <w:p w:rsidR="00000000" w:rsidRPr="009D1E24" w:rsidP="009D1E24">
            <w:pPr>
              <w:pStyle w:val="BodyText"/>
            </w:pPr>
            <w:r w:rsidRPr="009D1E24">
              <w:t>Work must be carried out in compliance with the relevant state/territory authority licence/permit requirements and regulations for operating mobile cranes up to and including 20 tonnes.</w:t>
            </w:r>
          </w:p>
          <w:p w:rsidR="00000000" w:rsidRPr="009D1E24" w:rsidP="009D1E24">
            <w:pPr>
              <w:pStyle w:val="BodyText"/>
            </w:pPr>
            <w:r w:rsidRPr="009D1E24">
              <w:t>Work is performed with limite</w:t>
            </w:r>
            <w:r w:rsidRPr="009D1E24">
              <w:t>d or minimum supervision, and with limited accountability and responsibility for self and others in achieving prescribed outcomes.</w:t>
            </w:r>
          </w:p>
          <w:p w:rsidR="00000000" w:rsidRPr="009D1E24" w:rsidP="009D1E24">
            <w:pPr>
              <w:pStyle w:val="BodyText"/>
            </w:pPr>
            <w:r w:rsidRPr="009D1E24">
              <w:t>No licensing, legislative or certification requirements apply to this unit at the time of publication.</w:t>
            </w:r>
          </w:p>
        </w:tc>
      </w:tr>
    </w:tbl>
    <w:p w:rsidR="00000000" w:rsidRPr="009D1E24" w:rsidP="009D1E24">
      <w:pPr>
        <w:pStyle w:val="NoPaddingFontSize1"/>
      </w:pPr>
    </w:p>
    <w:p w:rsidR="00000000" w:rsidRPr="009D1E24" w:rsidP="009D1E24">
      <w:pPr>
        <w:pStyle w:val="AllowPageBreak"/>
      </w:pPr>
    </w:p>
    <w:p w:rsidR="00000000" w:rsidRPr="009D1E24" w:rsidP="009D1E24">
      <w:pPr>
        <w:pStyle w:val="Heading1"/>
      </w:pPr>
      <w:bookmarkStart w:id="3" w:name="O_1066826"/>
      <w:bookmarkEnd w:id="3"/>
      <w:r w:rsidRPr="009D1E24">
        <w:t>P</w:t>
      </w:r>
      <w:r w:rsidRPr="009D1E24">
        <w:t>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1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24" w:rsidP="009D1E24">
            <w:pPr>
              <w:pStyle w:val="BodyText"/>
            </w:pPr>
            <w:r w:rsidRPr="009D1E24">
              <w:t>Not applicable.</w:t>
            </w:r>
          </w:p>
        </w:tc>
      </w:tr>
    </w:tbl>
    <w:p w:rsidR="00000000" w:rsidRPr="009D1E24" w:rsidP="009D1E24">
      <w:pPr>
        <w:pStyle w:val="NoPaddingFontSize1"/>
      </w:pPr>
    </w:p>
    <w:p w:rsidR="00000000" w:rsidRPr="009D1E24" w:rsidP="009D1E24">
      <w:pPr>
        <w:pStyle w:val="AllowPageBreak"/>
      </w:pPr>
    </w:p>
    <w:p w:rsidR="00000000" w:rsidRPr="009D1E24" w:rsidP="009D1E24">
      <w:pPr>
        <w:pStyle w:val="Heading1"/>
      </w:pPr>
      <w:bookmarkStart w:id="4" w:name="O_1066827"/>
      <w:bookmarkEnd w:id="4"/>
      <w:r w:rsidRPr="009D1E2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1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24" w:rsidP="009D1E24">
            <w:pPr>
              <w:pStyle w:val="BodyText"/>
            </w:pPr>
            <w:r w:rsidRPr="009D1E24">
              <w:t>D – Load Handling</w:t>
            </w:r>
          </w:p>
        </w:tc>
      </w:tr>
    </w:tbl>
    <w:p w:rsidR="00000000" w:rsidRPr="009D1E24" w:rsidP="009D1E24">
      <w:pPr>
        <w:pStyle w:val="NoPaddingFontSize1"/>
      </w:pPr>
    </w:p>
    <w:p w:rsidR="00000000" w:rsidRPr="009D1E24" w:rsidP="009D1E24">
      <w:pPr>
        <w:pStyle w:val="AllowPageBreak"/>
      </w:pPr>
    </w:p>
    <w:p w:rsidR="00000000" w:rsidRPr="009D1E24" w:rsidP="009D1E24">
      <w:pPr>
        <w:pStyle w:val="Heading1"/>
      </w:pPr>
      <w:bookmarkStart w:id="5" w:name="O_1066828"/>
      <w:bookmarkEnd w:id="5"/>
      <w:r w:rsidRPr="009D1E2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1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24" w:rsidP="009D1E24">
            <w:pPr>
              <w:pStyle w:val="BodyText"/>
            </w:pPr>
            <w:r w:rsidRPr="009D1E24">
              <w:t>Not applicable.</w:t>
            </w:r>
          </w:p>
        </w:tc>
      </w:tr>
    </w:tbl>
    <w:p w:rsidR="00000000" w:rsidRPr="009D1E24" w:rsidP="009D1E24">
      <w:pPr>
        <w:pStyle w:val="NoPaddingFontSize1"/>
      </w:pPr>
    </w:p>
    <w:p w:rsidR="00000000" w:rsidRPr="009D1E24" w:rsidP="009D1E24">
      <w:pPr>
        <w:pStyle w:val="AllowPageBreak"/>
      </w:pPr>
    </w:p>
    <w:p w:rsidR="00000000" w:rsidRPr="009D1E24" w:rsidP="009D1E24">
      <w:pPr>
        <w:pStyle w:val="Heading1"/>
      </w:pPr>
      <w:bookmarkStart w:id="6" w:name="O_1066829"/>
      <w:bookmarkEnd w:id="6"/>
      <w:r w:rsidRPr="009D1E2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D1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24" w:rsidP="009D1E24">
            <w:pPr>
              <w:pStyle w:val="BodyText"/>
            </w:pPr>
            <w:r w:rsidRPr="009D1E2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24">
            <w:pPr>
              <w:pStyle w:val="BodyText"/>
              <w:rPr>
                <w:lang w:val="en-NZ"/>
              </w:rPr>
            </w:pPr>
            <w:r w:rsidRPr="009D1E24">
              <w:rPr>
                <w:rStyle w:val="SpecialBold"/>
              </w:rPr>
              <w:t>PERFORMANCE CRITERIA</w:t>
            </w:r>
          </w:p>
        </w:tc>
      </w:tr>
      <w:tr w:rsidTr="009D1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24">
            <w:pPr>
              <w:pStyle w:val="BodyText"/>
              <w:rPr>
                <w:lang w:val="en-NZ"/>
              </w:rPr>
            </w:pPr>
            <w:r w:rsidRPr="009D1E2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24">
            <w:pPr>
              <w:pStyle w:val="BodyText"/>
              <w:rPr>
                <w:lang w:val="en-NZ"/>
              </w:rPr>
            </w:pPr>
            <w:r w:rsidRPr="009D1E24">
              <w:t>Performance criteria describe the performance needed to demonstrate achievement of the element.</w:t>
            </w:r>
          </w:p>
        </w:tc>
      </w:tr>
      <w:tr w:rsidTr="009D1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24" w:rsidP="009D1E24">
            <w:pPr>
              <w:pStyle w:val="BodyText"/>
            </w:pPr>
            <w:r w:rsidRPr="009D1E2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24" w:rsidP="009D1E24">
            <w:pPr>
              <w:pStyle w:val="BodyText"/>
            </w:pPr>
            <w:r w:rsidRPr="009D1E24">
              <w:rPr>
                <w:rStyle w:val="SpecialBold"/>
              </w:rPr>
              <w:t>Provide lift instructions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24">
            <w:pPr>
              <w:pStyle w:val="BodyText"/>
              <w:rPr>
                <w:lang w:val="en-NZ"/>
              </w:rPr>
            </w:pPr>
            <w:r w:rsidRPr="009D1E2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24">
            <w:pPr>
              <w:pStyle w:val="BodyText"/>
              <w:rPr>
                <w:lang w:val="en-NZ"/>
              </w:rPr>
            </w:pPr>
            <w:r w:rsidRPr="009D1E24">
              <w:t xml:space="preserve">Load movement is performed in accordance with planned hazard prevention and control measures in line </w:t>
            </w:r>
            <w:r w:rsidRPr="009D1E24">
              <w:t>with manufacturer specifications and workplace procedures</w:t>
            </w:r>
          </w:p>
        </w:tc>
      </w:tr>
      <w:tr w:rsidTr="009D1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24">
            <w:pPr>
              <w:pStyle w:val="BodyText"/>
              <w:rPr>
                <w:lang w:val="en-NZ"/>
              </w:rPr>
            </w:pPr>
            <w:r w:rsidRPr="009D1E2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24">
            <w:pPr>
              <w:pStyle w:val="BodyText"/>
              <w:rPr>
                <w:lang w:val="en-NZ"/>
              </w:rPr>
            </w:pPr>
            <w:r w:rsidRPr="009D1E24">
              <w:t>Agreed communication and signal methods are used to safely coordinate load movement</w:t>
            </w:r>
          </w:p>
        </w:tc>
      </w:tr>
      <w:tr w:rsidTr="009D1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24">
            <w:pPr>
              <w:pStyle w:val="BodyText"/>
              <w:rPr>
                <w:lang w:val="en-NZ"/>
              </w:rPr>
            </w:pPr>
            <w:r w:rsidRPr="009D1E2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24">
            <w:pPr>
              <w:pStyle w:val="BodyText"/>
              <w:rPr>
                <w:lang w:val="en-NZ"/>
              </w:rPr>
            </w:pPr>
            <w:r w:rsidRPr="009D1E24">
              <w:t>Clear, precise and concise verbal communication and signals are used</w:t>
            </w:r>
          </w:p>
        </w:tc>
      </w:tr>
      <w:tr w:rsidTr="009D1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24">
            <w:pPr>
              <w:pStyle w:val="BodyText"/>
              <w:rPr>
                <w:lang w:val="en-NZ"/>
              </w:rPr>
            </w:pPr>
            <w:r w:rsidRPr="009D1E2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24">
            <w:pPr>
              <w:pStyle w:val="BodyText"/>
              <w:rPr>
                <w:lang w:val="en-NZ"/>
              </w:rPr>
            </w:pPr>
            <w:r w:rsidRPr="009D1E24">
              <w:t>All relevant parameters are taken into account in instructions to ensure a safe, stable and smooth lift</w:t>
            </w:r>
          </w:p>
        </w:tc>
      </w:tr>
      <w:tr w:rsidTr="009D1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24" w:rsidP="009D1E24">
            <w:pPr>
              <w:pStyle w:val="BodyText"/>
            </w:pPr>
            <w:r w:rsidRPr="009D1E2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24" w:rsidP="009D1E24">
            <w:pPr>
              <w:pStyle w:val="BodyText"/>
            </w:pPr>
            <w:r w:rsidRPr="009D1E24">
              <w:rPr>
                <w:rStyle w:val="SpecialBold"/>
              </w:rPr>
              <w:t>Monitor lift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24">
            <w:pPr>
              <w:pStyle w:val="BodyText"/>
              <w:rPr>
                <w:lang w:val="en-NZ"/>
              </w:rPr>
            </w:pPr>
            <w:r w:rsidRPr="009D1E2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24">
            <w:pPr>
              <w:pStyle w:val="BodyText"/>
              <w:rPr>
                <w:lang w:val="en-NZ"/>
              </w:rPr>
            </w:pPr>
            <w:r w:rsidRPr="009D1E24">
              <w:t>Load is constantly monitored to ensure it remains stabl</w:t>
            </w:r>
            <w:r w:rsidRPr="009D1E24">
              <w:t>e</w:t>
            </w:r>
          </w:p>
        </w:tc>
      </w:tr>
      <w:tr w:rsidTr="009D1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24">
            <w:pPr>
              <w:pStyle w:val="BodyText"/>
              <w:rPr>
                <w:lang w:val="en-NZ"/>
              </w:rPr>
            </w:pPr>
            <w:r w:rsidRPr="009D1E2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24">
            <w:pPr>
              <w:pStyle w:val="BodyText"/>
              <w:rPr>
                <w:lang w:val="en-NZ"/>
              </w:rPr>
            </w:pPr>
            <w:r w:rsidRPr="009D1E24">
              <w:t>Load conditions that may affect continuing stability are identified and monitored</w:t>
            </w:r>
          </w:p>
        </w:tc>
      </w:tr>
      <w:tr w:rsidTr="009D1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24">
            <w:pPr>
              <w:pStyle w:val="BodyText"/>
              <w:rPr>
                <w:lang w:val="en-NZ"/>
              </w:rPr>
            </w:pPr>
            <w:r w:rsidRPr="009D1E2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24">
            <w:pPr>
              <w:pStyle w:val="BodyText"/>
              <w:rPr>
                <w:lang w:val="en-NZ"/>
              </w:rPr>
            </w:pPr>
            <w:r w:rsidRPr="009D1E24">
              <w:t>Temporary bracing and/or load support is maintained until continuing stability is ensured</w:t>
            </w:r>
          </w:p>
        </w:tc>
      </w:tr>
      <w:tr w:rsidTr="009D1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24">
            <w:pPr>
              <w:pStyle w:val="BodyText"/>
              <w:rPr>
                <w:lang w:val="en-NZ"/>
              </w:rPr>
            </w:pPr>
            <w:r w:rsidRPr="009D1E2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24">
            <w:pPr>
              <w:pStyle w:val="BodyText"/>
              <w:rPr>
                <w:lang w:val="en-NZ"/>
              </w:rPr>
            </w:pPr>
            <w:r w:rsidRPr="009D1E24">
              <w:t>Unplanned situations are responded to in accordance with workplace procedures in a manner that minimises risk to personnel and equipment</w:t>
            </w:r>
          </w:p>
        </w:tc>
      </w:tr>
      <w:tr w:rsidTr="009D1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24">
            <w:pPr>
              <w:pStyle w:val="BodyText"/>
              <w:rPr>
                <w:lang w:val="en-NZ"/>
              </w:rPr>
            </w:pPr>
            <w:r w:rsidRPr="009D1E2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24">
            <w:pPr>
              <w:pStyle w:val="BodyText"/>
              <w:rPr>
                <w:lang w:val="en-NZ"/>
              </w:rPr>
            </w:pPr>
            <w:r w:rsidRPr="009D1E24">
              <w:t>Site emergency workplace procedures are followed</w:t>
            </w:r>
          </w:p>
        </w:tc>
      </w:tr>
      <w:tr w:rsidTr="009D1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24" w:rsidP="009D1E24">
            <w:pPr>
              <w:pStyle w:val="BodyText"/>
            </w:pPr>
            <w:r w:rsidRPr="009D1E2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24" w:rsidP="009D1E24">
            <w:pPr>
              <w:pStyle w:val="BodyText"/>
            </w:pPr>
            <w:r w:rsidRPr="009D1E24">
              <w:rPr>
                <w:rStyle w:val="SpecialBold"/>
              </w:rPr>
              <w:t>Place and secure load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24">
            <w:pPr>
              <w:pStyle w:val="BodyText"/>
              <w:rPr>
                <w:lang w:val="en-NZ"/>
              </w:rPr>
            </w:pPr>
            <w:r w:rsidRPr="009D1E2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24">
            <w:pPr>
              <w:pStyle w:val="BodyText"/>
              <w:rPr>
                <w:lang w:val="en-NZ"/>
              </w:rPr>
            </w:pPr>
            <w:r w:rsidRPr="009D1E24">
              <w:t>Appropriate materials for fixing and anchoring the load are checked and selected in line with manufacturer specifications</w:t>
            </w:r>
          </w:p>
        </w:tc>
      </w:tr>
      <w:tr w:rsidTr="009D1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24">
            <w:pPr>
              <w:pStyle w:val="BodyText"/>
              <w:rPr>
                <w:lang w:val="en-NZ"/>
              </w:rPr>
            </w:pPr>
            <w:r w:rsidRPr="009D1E2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24">
            <w:pPr>
              <w:pStyle w:val="BodyText"/>
              <w:rPr>
                <w:lang w:val="en-NZ"/>
              </w:rPr>
            </w:pPr>
            <w:r w:rsidRPr="009D1E24">
              <w:t>Appropriate fixing methods are used to secure load in line with manufacturer specifications and guidelines</w:t>
            </w:r>
          </w:p>
        </w:tc>
      </w:tr>
      <w:tr w:rsidTr="009D1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2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E24">
            <w:pPr>
              <w:pStyle w:val="BodyText"/>
              <w:rPr>
                <w:lang w:val="en-NZ"/>
              </w:rPr>
            </w:pPr>
            <w:r w:rsidRPr="009D1E2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24" w:rsidP="009D1E24">
            <w:pPr>
              <w:pStyle w:val="BodyText"/>
            </w:pPr>
            <w:r w:rsidRPr="009D1E24">
              <w:t>Temporary securing is installed where hazards and weather conditions may vary during the load movement</w:t>
            </w:r>
          </w:p>
        </w:tc>
      </w:tr>
    </w:tbl>
    <w:p w:rsidR="00000000" w:rsidRPr="009D1E24" w:rsidP="009D1E24">
      <w:pPr>
        <w:pStyle w:val="NoPaddingFontSize1"/>
      </w:pPr>
    </w:p>
    <w:p w:rsidR="00000000" w:rsidRPr="009D1E24" w:rsidP="009D1E24">
      <w:pPr>
        <w:pStyle w:val="AllowPageBreak"/>
      </w:pPr>
    </w:p>
    <w:p w:rsidR="00000000" w:rsidRPr="009D1E24" w:rsidP="009D1E24">
      <w:pPr>
        <w:pStyle w:val="Heading1"/>
      </w:pPr>
      <w:bookmarkStart w:id="7" w:name="O_1066830"/>
      <w:bookmarkEnd w:id="7"/>
      <w:r w:rsidRPr="009D1E2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1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24" w:rsidP="009D1E24">
            <w:pPr>
              <w:pStyle w:val="BodyText"/>
            </w:pPr>
            <w:r w:rsidRPr="009D1E24">
              <w:t>Foundation skills essential to performance are explicit in the performance criteria of this unit of competency.</w:t>
            </w:r>
          </w:p>
        </w:tc>
      </w:tr>
    </w:tbl>
    <w:p w:rsidR="00000000" w:rsidRPr="009D1E24" w:rsidP="009D1E24">
      <w:pPr>
        <w:pStyle w:val="NoPaddingFontSize1"/>
      </w:pPr>
    </w:p>
    <w:p w:rsidR="00000000" w:rsidRPr="009D1E24" w:rsidP="009D1E24">
      <w:pPr>
        <w:pStyle w:val="AllowPageBreak"/>
      </w:pPr>
    </w:p>
    <w:p w:rsidR="00000000" w:rsidRPr="009D1E24" w:rsidP="009D1E24">
      <w:pPr>
        <w:pStyle w:val="Heading1"/>
      </w:pPr>
      <w:bookmarkStart w:id="8" w:name="O_1066831"/>
      <w:bookmarkEnd w:id="8"/>
      <w:r w:rsidRPr="009D1E2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1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24" w:rsidP="009D1E24">
            <w:pPr>
              <w:pStyle w:val="BodyText"/>
            </w:pPr>
            <w:r w:rsidRPr="009D1E24">
              <w:t>Range is restricted to essential operating conditions and any other variables essential to the work environment.</w:t>
            </w:r>
          </w:p>
        </w:tc>
      </w:tr>
    </w:tbl>
    <w:p w:rsidR="00000000" w:rsidRPr="009D1E24" w:rsidP="009D1E24">
      <w:pPr>
        <w:pStyle w:val="NoPaddingFontSize1"/>
      </w:pPr>
    </w:p>
    <w:p w:rsidR="00000000" w:rsidRPr="009D1E24" w:rsidP="009D1E24">
      <w:pPr>
        <w:pStyle w:val="AllowPageBreak"/>
      </w:pPr>
    </w:p>
    <w:p w:rsidR="00000000" w:rsidRPr="009D1E24" w:rsidP="009D1E24">
      <w:pPr>
        <w:pStyle w:val="Heading1"/>
      </w:pPr>
      <w:bookmarkStart w:id="9" w:name="O_1066832"/>
      <w:bookmarkEnd w:id="9"/>
      <w:r w:rsidRPr="009D1E2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1E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E24" w:rsidP="009D1E24">
            <w:pPr>
              <w:pStyle w:val="BodyText"/>
            </w:pPr>
            <w:r w:rsidRPr="009D1E24">
              <w:t>This unit replaces and is equivalent to TLID3040 Control lift and movement of crane.</w:t>
            </w:r>
          </w:p>
        </w:tc>
      </w:tr>
    </w:tbl>
    <w:p w:rsidR="00000000" w:rsidRPr="009D1E24" w:rsidP="009D1E24">
      <w:pPr>
        <w:pStyle w:val="NoPaddingFontSize1"/>
      </w:pPr>
    </w:p>
    <w:p w:rsidR="00000000" w:rsidRPr="009D1E24" w:rsidP="009D1E24">
      <w:pPr>
        <w:pStyle w:val="AllowPageBreak"/>
      </w:pPr>
    </w:p>
    <w:p w:rsidR="00000000" w:rsidRPr="009D1E24" w:rsidP="009D1E24">
      <w:pPr>
        <w:pStyle w:val="Heading1"/>
      </w:pPr>
      <w:bookmarkStart w:id="10" w:name="O_1066839"/>
      <w:bookmarkEnd w:id="10"/>
      <w:r w:rsidRPr="009D1E24">
        <w:t>Links</w:t>
      </w:r>
    </w:p>
    <w:p w:rsidR="00000000" w:rsidRPr="009D1E24" w:rsidP="008823CE">
      <w:pPr>
        <w:pStyle w:val="BodyText"/>
      </w:pPr>
      <w:r w:rsidRPr="009D1E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04B7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D1E24" w:rsidP="009D1E24"/>
    <w:sectPr w:rsidSect="009D1E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E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E24" w:rsidRPr="008823CE" w:rsidP="008823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E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3CE" w:rsidP="009D1E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23CE" w:rsidP="009D1E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823CE" w:rsidP="009D1E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E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3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1E24" w:rsidRPr="008823CE" w:rsidP="008823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E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3CE" w:rsidRPr="002D2AF8" w:rsidP="009D1E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TLID0003 Control lift and movement of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823CE" w:rsidP="009D1E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E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1E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1E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1E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1E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1E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1E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1E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1E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1E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1E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1E24"/>
  </w:style>
  <w:style w:type="character" w:customStyle="1" w:styleId="Heading1Char">
    <w:name w:val="Heading 1 Char"/>
    <w:basedOn w:val="DefaultParagraphFont"/>
    <w:link w:val="Heading1"/>
    <w:rsid w:val="009D1E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1E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1E2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D1E24"/>
    <w:rPr>
      <w:b/>
      <w:spacing w:val="0"/>
    </w:rPr>
  </w:style>
  <w:style w:type="paragraph" w:customStyle="1" w:styleId="SuperHeading">
    <w:name w:val="SuperHeading"/>
    <w:basedOn w:val="Normal"/>
    <w:rsid w:val="009D1E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1E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D1E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1E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1E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1E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1E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1E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1E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1E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1E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1E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1E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1E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1E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1E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1E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1E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1E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1E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1E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1E2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D1E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1E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1E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1E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1E2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1E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1E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1E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1E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1E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1E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1E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1E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1E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1E24"/>
    <w:rPr>
      <w:i/>
    </w:rPr>
  </w:style>
  <w:style w:type="paragraph" w:styleId="Caption">
    <w:name w:val="caption"/>
    <w:basedOn w:val="BodyText"/>
    <w:next w:val="Normal"/>
    <w:qFormat/>
    <w:rsid w:val="009D1E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1E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1E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1E24"/>
  </w:style>
  <w:style w:type="paragraph" w:styleId="TableofFigures">
    <w:name w:val="table of figures"/>
    <w:basedOn w:val="Normal"/>
    <w:next w:val="Normal"/>
    <w:semiHidden/>
    <w:rsid w:val="009D1E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1E2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D1E24"/>
    <w:rPr>
      <w:rFonts w:ascii="Wingdings" w:hAnsi="Wingdings"/>
    </w:rPr>
  </w:style>
  <w:style w:type="paragraph" w:customStyle="1" w:styleId="TableHeading">
    <w:name w:val="Table Heading"/>
    <w:basedOn w:val="HeadingBase"/>
    <w:rsid w:val="009D1E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1E24"/>
    <w:rPr>
      <w:color w:val="0033CC"/>
      <w:u w:val="none"/>
    </w:rPr>
  </w:style>
  <w:style w:type="paragraph" w:customStyle="1" w:styleId="BodyTextRight">
    <w:name w:val="Body Text Right"/>
    <w:basedOn w:val="BodyText"/>
    <w:rsid w:val="009D1E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1E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1E2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1E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1E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1E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1E24"/>
    <w:rPr>
      <w:sz w:val="32"/>
    </w:rPr>
  </w:style>
  <w:style w:type="paragraph" w:customStyle="1" w:styleId="HeadingProcedure">
    <w:name w:val="Heading Procedure"/>
    <w:basedOn w:val="HeadingBase"/>
    <w:next w:val="Normal"/>
    <w:rsid w:val="009D1E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1E24"/>
    <w:pPr>
      <w:spacing w:before="60" w:after="60"/>
    </w:pPr>
  </w:style>
  <w:style w:type="paragraph" w:styleId="ListContinue">
    <w:name w:val="List Continue"/>
    <w:basedOn w:val="List"/>
    <w:rsid w:val="009D1E24"/>
    <w:pPr>
      <w:ind w:firstLine="0"/>
    </w:pPr>
  </w:style>
  <w:style w:type="paragraph" w:customStyle="1" w:styleId="ListNote">
    <w:name w:val="List Note"/>
    <w:basedOn w:val="List"/>
    <w:rsid w:val="009D1E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1E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1E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1E24"/>
    <w:rPr>
      <w:rFonts w:ascii="Courier New" w:hAnsi="Courier New"/>
    </w:rPr>
  </w:style>
  <w:style w:type="paragraph" w:customStyle="1" w:styleId="NoteBullet">
    <w:name w:val="Note Bullet"/>
    <w:basedOn w:val="Note"/>
    <w:rsid w:val="009D1E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1E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1E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1E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1E2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D1E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1E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1E24"/>
    <w:rPr>
      <w:b/>
      <w:smallCaps/>
    </w:rPr>
  </w:style>
  <w:style w:type="paragraph" w:customStyle="1" w:styleId="TableListNumber">
    <w:name w:val="Table List Number"/>
    <w:basedOn w:val="ListNumber"/>
    <w:rsid w:val="009D1E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1E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1E24"/>
    <w:pPr>
      <w:numPr>
        <w:numId w:val="7"/>
      </w:numPr>
    </w:pPr>
  </w:style>
  <w:style w:type="paragraph" w:customStyle="1" w:styleId="ListAlpha2">
    <w:name w:val="List Alpha 2"/>
    <w:basedOn w:val="List2"/>
    <w:rsid w:val="009D1E24"/>
    <w:pPr>
      <w:numPr>
        <w:numId w:val="6"/>
      </w:numPr>
    </w:pPr>
  </w:style>
  <w:style w:type="paragraph" w:styleId="List2">
    <w:name w:val="List 2"/>
    <w:basedOn w:val="BodyText"/>
    <w:rsid w:val="009D1E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1E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1E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1E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1E2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1E2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D1E24"/>
    <w:pPr>
      <w:numPr>
        <w:numId w:val="2"/>
      </w:numPr>
    </w:pPr>
  </w:style>
  <w:style w:type="paragraph" w:styleId="ListContinue2">
    <w:name w:val="List Continue 2"/>
    <w:basedOn w:val="List2"/>
    <w:rsid w:val="009D1E24"/>
    <w:pPr>
      <w:ind w:firstLine="0"/>
    </w:pPr>
  </w:style>
  <w:style w:type="paragraph" w:styleId="ListContinue3">
    <w:name w:val="List Continue 3"/>
    <w:basedOn w:val="List3"/>
    <w:rsid w:val="009D1E24"/>
    <w:pPr>
      <w:ind w:left="1021" w:firstLine="0"/>
    </w:pPr>
  </w:style>
  <w:style w:type="paragraph" w:styleId="ListContinue4">
    <w:name w:val="List Continue 4"/>
    <w:basedOn w:val="List4"/>
    <w:rsid w:val="009D1E24"/>
    <w:pPr>
      <w:ind w:firstLine="0"/>
    </w:pPr>
  </w:style>
  <w:style w:type="paragraph" w:styleId="ListContinue5">
    <w:name w:val="List Continue 5"/>
    <w:basedOn w:val="List5"/>
    <w:rsid w:val="009D1E24"/>
    <w:pPr>
      <w:ind w:firstLine="0"/>
    </w:pPr>
  </w:style>
  <w:style w:type="paragraph" w:styleId="ListNumber3">
    <w:name w:val="List Number 3"/>
    <w:basedOn w:val="List3"/>
    <w:rsid w:val="009D1E24"/>
    <w:pPr>
      <w:numPr>
        <w:numId w:val="3"/>
      </w:numPr>
    </w:pPr>
  </w:style>
  <w:style w:type="paragraph" w:styleId="ListNumber4">
    <w:name w:val="List Number 4"/>
    <w:basedOn w:val="List4"/>
    <w:rsid w:val="009D1E24"/>
    <w:pPr>
      <w:numPr>
        <w:numId w:val="4"/>
      </w:numPr>
    </w:pPr>
  </w:style>
  <w:style w:type="paragraph" w:styleId="ListNumber5">
    <w:name w:val="List Number 5"/>
    <w:basedOn w:val="List5"/>
    <w:rsid w:val="009D1E24"/>
    <w:pPr>
      <w:numPr>
        <w:numId w:val="5"/>
      </w:numPr>
    </w:pPr>
  </w:style>
  <w:style w:type="paragraph" w:styleId="BlockText">
    <w:name w:val="Block Text"/>
    <w:basedOn w:val="Normal"/>
    <w:rsid w:val="009D1E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1E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1E24"/>
    <w:rPr>
      <w:sz w:val="16"/>
      <w:vertAlign w:val="superscript"/>
    </w:rPr>
  </w:style>
  <w:style w:type="character" w:customStyle="1" w:styleId="Symbols">
    <w:name w:val="Symbols"/>
    <w:basedOn w:val="DefaultParagraphFont"/>
    <w:rsid w:val="009D1E24"/>
    <w:rPr>
      <w:rFonts w:ascii="Symbol" w:hAnsi="Symbol"/>
    </w:rPr>
  </w:style>
  <w:style w:type="character" w:customStyle="1" w:styleId="MenuOptions">
    <w:name w:val="Menu Options"/>
    <w:basedOn w:val="DefaultParagraphFont"/>
    <w:rsid w:val="009D1E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1E24"/>
    <w:rPr>
      <w:b/>
    </w:rPr>
  </w:style>
  <w:style w:type="character" w:customStyle="1" w:styleId="Underlined">
    <w:name w:val="Underlined"/>
    <w:basedOn w:val="DefaultParagraphFont"/>
    <w:rsid w:val="009D1E24"/>
    <w:rPr>
      <w:u w:val="single"/>
    </w:rPr>
  </w:style>
  <w:style w:type="paragraph" w:customStyle="1" w:styleId="TableBodyTextRight">
    <w:name w:val="Table Body Text Right"/>
    <w:basedOn w:val="TableBodyText"/>
    <w:rsid w:val="009D1E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1E24"/>
    <w:rPr>
      <w:sz w:val="18"/>
    </w:rPr>
  </w:style>
  <w:style w:type="paragraph" w:customStyle="1" w:styleId="BodySmallRight">
    <w:name w:val="Body Small Right"/>
    <w:basedOn w:val="BodyTextRight"/>
    <w:rsid w:val="009D1E24"/>
    <w:rPr>
      <w:sz w:val="18"/>
      <w:szCs w:val="18"/>
    </w:rPr>
  </w:style>
  <w:style w:type="paragraph" w:customStyle="1" w:styleId="MarginEdition">
    <w:name w:val="Margin Edition"/>
    <w:basedOn w:val="MarginNote"/>
    <w:rsid w:val="009D1E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1E24"/>
    <w:rPr>
      <w:sz w:val="2"/>
      <w:szCs w:val="2"/>
    </w:rPr>
  </w:style>
  <w:style w:type="character" w:customStyle="1" w:styleId="Small">
    <w:name w:val="Small"/>
    <w:basedOn w:val="DefaultParagraphFont"/>
    <w:rsid w:val="009D1E24"/>
    <w:rPr>
      <w:sz w:val="16"/>
    </w:rPr>
  </w:style>
  <w:style w:type="paragraph" w:customStyle="1" w:styleId="WideTable">
    <w:name w:val="Wide Table"/>
    <w:basedOn w:val="Normal"/>
    <w:rsid w:val="009D1E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1E24"/>
  </w:style>
  <w:style w:type="paragraph" w:styleId="Quote">
    <w:name w:val="Quote"/>
    <w:basedOn w:val="Heading1"/>
    <w:link w:val="QuoteChar"/>
    <w:qFormat/>
    <w:rsid w:val="009D1E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1E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1E24"/>
    <w:pPr>
      <w:pageBreakBefore/>
    </w:pPr>
  </w:style>
  <w:style w:type="paragraph" w:customStyle="1" w:styleId="Border">
    <w:name w:val="Border"/>
    <w:basedOn w:val="Normal"/>
    <w:qFormat/>
    <w:rsid w:val="009D1E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1E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E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E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1E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1E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1E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1E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1E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1E24"/>
    <w:rPr>
      <w:u w:val="single"/>
    </w:rPr>
  </w:style>
  <w:style w:type="character" w:customStyle="1" w:styleId="BoldandItalics">
    <w:name w:val="Bold and Italics"/>
    <w:qFormat/>
    <w:rsid w:val="009D1E24"/>
    <w:rPr>
      <w:b/>
      <w:i/>
      <w:u w:val="none"/>
    </w:rPr>
  </w:style>
  <w:style w:type="paragraph" w:styleId="BalloonText">
    <w:name w:val="Balloon Text"/>
    <w:basedOn w:val="Normal"/>
    <w:link w:val="BalloonTextChar"/>
    <w:rsid w:val="009D1E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1E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1E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1E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1E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1E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1E24"/>
    <w:pPr>
      <w:spacing w:before="0" w:after="0"/>
    </w:pPr>
  </w:style>
  <w:style w:type="paragraph" w:customStyle="1" w:styleId="BodyTextBold">
    <w:name w:val="Body Text Bold"/>
    <w:basedOn w:val="BodyText"/>
    <w:qFormat/>
    <w:rsid w:val="009D1E24"/>
    <w:rPr>
      <w:b/>
    </w:rPr>
  </w:style>
  <w:style w:type="character" w:styleId="Hyperlink">
    <w:name w:val="Hyperlink"/>
    <w:basedOn w:val="DefaultParagraphFont"/>
    <w:uiPriority w:val="99"/>
    <w:unhideWhenUsed/>
    <w:rsid w:val="008823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482</Words>
  <Characters>2922</Characters>
  <Application>Microsoft Office Word</Application>
  <DocSecurity>0</DocSecurity>
  <Lines>132</Lines>
  <Paragraphs>73</Paragraphs>
  <ScaleCrop>false</ScaleCrop>
  <Company>Author-it Software Corporation Ltd.</Company>
  <LinksUpToDate>false</LinksUpToDate>
  <CharactersWithSpaces>3331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TLID0003 Control lift and movement of crane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2024-07-12T07:49:00Z</dcterms:created>
  <dcterms:modified xsi:type="dcterms:W3CDTF">2024-07-12T07:49:00Z</dcterms:modified>
</cp:coreProperties>
</file>