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428" w:rsidP="00973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TLID0001 Load and unload vehicles carrying special loads</w:t>
      </w:r>
      <w:r>
        <w:fldChar w:fldCharType="end"/>
      </w:r>
    </w:p>
    <w:p w:rsidR="00973428" w:rsidP="00973428">
      <w:pPr>
        <w:pStyle w:val="Version"/>
        <w:sectPr w:rsidSect="004E0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0D16" w:rsidP="004E0D16">
      <w:pPr>
        <w:pStyle w:val="SuperHeading"/>
      </w:pPr>
      <w:r w:rsidRPr="004E0D16">
        <w:t>TLID0001 Load and unload vehicles carrying special loads</w:t>
      </w:r>
    </w:p>
    <w:p w:rsidR="00000000" w:rsidRPr="004E0D16" w:rsidP="004E0D16">
      <w:pPr>
        <w:pStyle w:val="Heading1"/>
      </w:pPr>
      <w:bookmarkStart w:id="1" w:name="O_1196748"/>
      <w:bookmarkEnd w:id="1"/>
      <w:r w:rsidRPr="004E0D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rPr>
                <w:rStyle w:val="SpecialBold"/>
              </w:rPr>
              <w:t>Release 2</w:t>
            </w:r>
            <w:r w:rsidRPr="004E0D16">
              <w:t>. This is the second release of this unit of competency in the TLI Transport and Logistics Training Package:</w:t>
            </w:r>
          </w:p>
          <w:p w:rsidR="00000000" w:rsidRPr="004E0D16" w:rsidP="004E0D16">
            <w:pPr>
              <w:pStyle w:val="ListBullet2"/>
            </w:pPr>
            <w:r w:rsidRPr="004E0D16">
              <w:t>Minor unit Application change to clarify terms</w:t>
            </w:r>
          </w:p>
          <w:p w:rsidR="00000000" w:rsidRPr="004E0D16" w:rsidP="004E0D16">
            <w:pPr>
              <w:pStyle w:val="ListBullet2"/>
            </w:pPr>
            <w:r w:rsidRPr="004E0D16">
              <w:t>PC 1.2 Minor terminology change</w:t>
            </w:r>
          </w:p>
          <w:p w:rsidR="00000000" w:rsidRPr="004E0D16" w:rsidP="004E0D16">
            <w:pPr>
              <w:pStyle w:val="ListBullet2"/>
            </w:pPr>
            <w:r w:rsidRPr="004E0D16">
              <w:t xml:space="preserve">Minor word changes </w:t>
            </w:r>
            <w:r w:rsidRPr="004E0D16">
              <w:t>in Performance Evidence</w:t>
            </w:r>
          </w:p>
          <w:p w:rsidR="00000000" w:rsidP="004E0D16">
            <w:pPr>
              <w:pStyle w:val="ListBullet2"/>
              <w:rPr>
                <w:lang w:val="en-NZ"/>
              </w:rPr>
            </w:pPr>
            <w:r w:rsidRPr="004E0D16">
              <w:t>Minor word changes in Knowledge Evidence.</w:t>
            </w:r>
          </w:p>
        </w:tc>
      </w:tr>
      <w:tr w:rsidTr="004E0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rPr>
                <w:rStyle w:val="SpecialBold"/>
              </w:rPr>
              <w:t>Release 1</w:t>
            </w:r>
            <w:r w:rsidRPr="004E0D16">
              <w:t>.  This is first release of this unit of competency in the TLI Transport and Logistics Training Package.</w:t>
            </w:r>
          </w:p>
        </w:tc>
      </w:tr>
    </w:tbl>
    <w:p w:rsidR="00973428" w:rsidP="004E0D16">
      <w:pPr>
        <w:pStyle w:val="NoPaddingFontSize1"/>
      </w:pPr>
    </w:p>
    <w:p w:rsidR="00973428" w:rsidP="004E0D16">
      <w:pPr>
        <w:pStyle w:val="NoPaddingFontSize1"/>
      </w:pPr>
    </w:p>
    <w:p w:rsidR="00000000" w:rsidRPr="004E0D16" w:rsidP="004E0D16">
      <w:pPr>
        <w:pStyle w:val="Heading1"/>
      </w:pPr>
      <w:bookmarkStart w:id="2" w:name="O_1196747"/>
      <w:bookmarkEnd w:id="2"/>
      <w:r w:rsidRPr="004E0D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t>This unit involves the skills and knowledge required to load and unload vehicles carrying special loads in accordance with relevant state/territory roads and traffic authority licence and permit requirements and regulations, as well as specific codes of pr</w:t>
            </w:r>
            <w:r w:rsidRPr="004E0D16">
              <w:t xml:space="preserve">actice, regulatory and permit requirements. </w:t>
            </w:r>
          </w:p>
          <w:p w:rsidR="00000000" w:rsidRPr="004E0D16" w:rsidP="004E0D16">
            <w:pPr>
              <w:pStyle w:val="BodyText"/>
            </w:pPr>
            <w:r w:rsidRPr="004E0D16">
              <w:t>It includes loading and unloading special loads onto and from a vehicle, securing and protecting vehicle and load, and completing all required documentation.</w:t>
            </w:r>
          </w:p>
          <w:p w:rsidR="00000000" w:rsidRPr="004E0D16" w:rsidP="004E0D16">
            <w:pPr>
              <w:pStyle w:val="BodyText"/>
            </w:pPr>
            <w:r w:rsidRPr="004E0D16">
              <w:t>Special load is the collective term for those items o</w:t>
            </w:r>
            <w:r w:rsidRPr="004E0D16">
              <w:t>f cargo which, due to their nature or value, will require special treatment and/or equipment during the transport activities.</w:t>
            </w:r>
          </w:p>
          <w:p w:rsidR="00000000" w:rsidRPr="004E0D16" w:rsidP="004E0D16">
            <w:pPr>
              <w:pStyle w:val="BodyText"/>
            </w:pPr>
            <w:r w:rsidRPr="004E0D16">
              <w:t xml:space="preserve">Work is performed under some supervision generally within a team environment. </w:t>
            </w:r>
          </w:p>
          <w:p w:rsidR="00000000" w:rsidRPr="004E0D16" w:rsidP="004E0D16">
            <w:pPr>
              <w:pStyle w:val="BodyText"/>
            </w:pPr>
            <w:r w:rsidRPr="004E0D16">
              <w:t>No licensing, legislative or certification requirem</w:t>
            </w:r>
            <w:r w:rsidRPr="004E0D16">
              <w:t>ents apply to this unit at the time of publication.</w:t>
            </w:r>
          </w:p>
        </w:tc>
      </w:tr>
    </w:tbl>
    <w:p w:rsidR="00973428" w:rsidP="004E0D16">
      <w:pPr>
        <w:pStyle w:val="NoPaddingFontSize1"/>
      </w:pPr>
    </w:p>
    <w:p w:rsidR="00973428" w:rsidP="004E0D16">
      <w:pPr>
        <w:pStyle w:val="NoPaddingFontSize1"/>
      </w:pPr>
    </w:p>
    <w:p w:rsidR="00000000" w:rsidRPr="004E0D16" w:rsidP="004E0D16">
      <w:pPr>
        <w:pStyle w:val="Heading1"/>
      </w:pPr>
      <w:bookmarkStart w:id="3" w:name="O_1196746"/>
      <w:bookmarkEnd w:id="3"/>
      <w:r w:rsidRPr="004E0D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t>Not applicable.</w:t>
            </w:r>
          </w:p>
        </w:tc>
      </w:tr>
    </w:tbl>
    <w:p w:rsidR="00000000" w:rsidRPr="004E0D16" w:rsidP="004E0D16">
      <w:pPr>
        <w:pStyle w:val="NoPaddingFontSize1"/>
      </w:pPr>
    </w:p>
    <w:p w:rsidR="00000000" w:rsidRPr="004E0D16" w:rsidP="004E0D16">
      <w:pPr>
        <w:pStyle w:val="AllowPageBreak"/>
      </w:pPr>
    </w:p>
    <w:p w:rsidR="00000000" w:rsidRPr="004E0D16" w:rsidP="004E0D16">
      <w:pPr>
        <w:pStyle w:val="Heading1"/>
      </w:pPr>
      <w:bookmarkStart w:id="4" w:name="O_1196745"/>
      <w:bookmarkEnd w:id="4"/>
      <w:r w:rsidRPr="004E0D1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t>D – Load Handling</w:t>
            </w:r>
          </w:p>
        </w:tc>
      </w:tr>
    </w:tbl>
    <w:p w:rsidR="00000000" w:rsidRPr="004E0D16" w:rsidP="004E0D16">
      <w:pPr>
        <w:pStyle w:val="NoPaddingFontSize1"/>
      </w:pPr>
    </w:p>
    <w:p w:rsidR="00000000" w:rsidRPr="004E0D16" w:rsidP="004E0D16">
      <w:pPr>
        <w:pStyle w:val="AllowPageBreak"/>
      </w:pPr>
    </w:p>
    <w:p w:rsidR="00000000" w:rsidRPr="004E0D16" w:rsidP="004E0D16">
      <w:pPr>
        <w:pStyle w:val="Heading1"/>
      </w:pPr>
      <w:bookmarkStart w:id="5" w:name="O_1196744"/>
      <w:bookmarkEnd w:id="5"/>
      <w:r w:rsidRPr="004E0D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t>Not applicable.</w:t>
            </w:r>
          </w:p>
        </w:tc>
      </w:tr>
    </w:tbl>
    <w:p w:rsidR="00000000" w:rsidRPr="004E0D16" w:rsidP="004E0D16">
      <w:pPr>
        <w:pStyle w:val="NoPaddingFontSize1"/>
      </w:pPr>
    </w:p>
    <w:p w:rsidR="00000000" w:rsidRPr="004E0D16" w:rsidP="004E0D16">
      <w:pPr>
        <w:pStyle w:val="AllowPageBreak"/>
      </w:pPr>
    </w:p>
    <w:p w:rsidR="00000000" w:rsidRPr="004E0D16" w:rsidP="004E0D16">
      <w:pPr>
        <w:pStyle w:val="Heading1"/>
      </w:pPr>
      <w:bookmarkStart w:id="6" w:name="O_1196743"/>
      <w:bookmarkEnd w:id="6"/>
      <w:r w:rsidRPr="004E0D16">
        <w:t>Elements and Performance Criteria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0"/>
        <w:gridCol w:w="2620"/>
        <w:gridCol w:w="554"/>
        <w:gridCol w:w="5836"/>
      </w:tblGrid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rPr>
                <w:rStyle w:val="SpecialBold"/>
              </w:rPr>
              <w:t>ELEMENTS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PERFORMANCE CRITERIA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30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Elements describe the essential outcomes.</w:t>
            </w:r>
          </w:p>
        </w:tc>
        <w:tc>
          <w:tcPr>
            <w:tcW w:w="6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Performance criteria describe the performance needed to demonstrate achievement of the element.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rPr>
                <w:rStyle w:val="SpecialBold"/>
              </w:rPr>
              <w:t>1</w:t>
            </w:r>
          </w:p>
        </w:tc>
        <w:tc>
          <w:tcPr>
            <w:tcW w:w="26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rPr>
                <w:rStyle w:val="SpecialBold"/>
              </w:rPr>
              <w:t>Load and unload vehicle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1.1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Load characteristics are identified and taken into account when determining appropriate loading and unloading procedures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1.2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Hazardous and specialised cargo are identified and handled in accordance with required workplace procedures, work health and saf</w:t>
            </w:r>
            <w:r w:rsidRPr="004E0D16">
              <w:t>ety (WHS)/occupational health and safety (OHS) requirements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1.3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Vehicle is loaded in consultation with relevant personnel and required documentation in accordance with vehicle loading regulations and workplace safety requirements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1.4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Lifting aids and appliances are selected and used to aid loading procedures in accordance with workplace procedures and safety legislation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1.5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Vehicle is unloaded or partially unloaded in a safe and efficient manner taking into account suitable location</w:t>
            </w:r>
            <w:r w:rsidRPr="004E0D16">
              <w:t>s, stowage, safe use of equipment and balance of remaining load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1.6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Ancillary equipment is operated in accordance with workplace procedures and manufacturer instructions during loading and unloading operations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rPr>
                <w:rStyle w:val="SpecialBold"/>
              </w:rPr>
              <w:t>2</w:t>
            </w:r>
          </w:p>
        </w:tc>
        <w:tc>
          <w:tcPr>
            <w:tcW w:w="26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rPr>
                <w:rStyle w:val="SpecialBold"/>
              </w:rPr>
              <w:t>Secure and protect vehicle and load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2.1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Vehicle load is secured using correct load restraint and protection equipment for different loads, vehicles and carriage conditions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2.2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Load is protected in accordance with legal and workplace safety requirements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2.3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Load distribution is checked to ensure it is even, legal and within vehicle safe working capacity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2.4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Loaded vehicle is inspected and checked for security to travel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4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rPr>
                <w:rStyle w:val="SpecialBold"/>
              </w:rPr>
              <w:t>3</w:t>
            </w:r>
          </w:p>
        </w:tc>
        <w:tc>
          <w:tcPr>
            <w:tcW w:w="262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rPr>
                <w:rStyle w:val="SpecialBold"/>
              </w:rPr>
              <w:t>Complete documentation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3.1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t>Documentation is completed and proofread in accordance with workplace procedures</w:t>
            </w:r>
          </w:p>
        </w:tc>
      </w:tr>
      <w:tr w:rsidTr="004E0D16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4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2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>
            <w:pPr>
              <w:pStyle w:val="BodyText"/>
              <w:keepLines w:val="0"/>
              <w:spacing w:before="0" w:after="0"/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D16">
            <w:pPr>
              <w:pStyle w:val="BodyText"/>
              <w:rPr>
                <w:lang w:val="en-NZ"/>
              </w:rPr>
            </w:pPr>
            <w:r w:rsidRPr="004E0D16">
              <w:rPr>
                <w:rStyle w:val="SpecialBold"/>
              </w:rPr>
              <w:t>3.2</w:t>
            </w:r>
          </w:p>
        </w:tc>
        <w:tc>
          <w:tcPr>
            <w:tcW w:w="5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t>All required cargo transportation documentation is completed in accordance with workplace requirements</w:t>
            </w:r>
          </w:p>
        </w:tc>
      </w:tr>
    </w:tbl>
    <w:p w:rsidR="00973428" w:rsidP="004E0D16">
      <w:pPr>
        <w:pStyle w:val="NoPaddingFontSize1"/>
      </w:pPr>
    </w:p>
    <w:p w:rsidR="00973428" w:rsidP="004E0D16">
      <w:pPr>
        <w:pStyle w:val="NoPaddingFontSize1"/>
      </w:pPr>
    </w:p>
    <w:p w:rsidR="00000000" w:rsidRPr="004E0D16" w:rsidP="004E0D16">
      <w:pPr>
        <w:pStyle w:val="Heading1"/>
      </w:pPr>
      <w:bookmarkStart w:id="7" w:name="O_1196742"/>
      <w:bookmarkEnd w:id="7"/>
      <w:r w:rsidRPr="004E0D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t>Foundation skills essential to performance are explicit in the performance criteria of this unit of competency.</w:t>
            </w:r>
          </w:p>
        </w:tc>
      </w:tr>
    </w:tbl>
    <w:p w:rsidR="00000000" w:rsidRPr="004E0D16" w:rsidP="004E0D16">
      <w:pPr>
        <w:pStyle w:val="NoPaddingFontSize1"/>
      </w:pPr>
    </w:p>
    <w:p w:rsidR="00000000" w:rsidRPr="004E0D16" w:rsidP="004E0D16">
      <w:pPr>
        <w:pStyle w:val="AllowPageBreak"/>
      </w:pPr>
    </w:p>
    <w:p w:rsidR="00000000" w:rsidRPr="004E0D16" w:rsidP="004E0D16">
      <w:pPr>
        <w:pStyle w:val="Heading1"/>
      </w:pPr>
      <w:bookmarkStart w:id="8" w:name="O_1196741"/>
      <w:bookmarkEnd w:id="8"/>
      <w:r w:rsidRPr="004E0D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t>Range is restricted to essential operating conditions and any other variables essential to the work env</w:t>
            </w:r>
            <w:r w:rsidRPr="004E0D16">
              <w:t>ironment.</w:t>
            </w:r>
          </w:p>
          <w:p w:rsidR="00000000" w:rsidRPr="004E0D16" w:rsidP="004E0D16">
            <w:pPr>
              <w:pStyle w:val="BodyText"/>
            </w:pPr>
            <w:r w:rsidRPr="004E0D16">
              <w:t>Non-essential conditions can be found in the TLI Transport and Logistics Training Package Companion Volume Implementation Guide.</w:t>
            </w:r>
          </w:p>
        </w:tc>
      </w:tr>
    </w:tbl>
    <w:p w:rsidR="00973428" w:rsidP="004E0D16">
      <w:pPr>
        <w:pStyle w:val="NoPaddingFontSize1"/>
      </w:pPr>
    </w:p>
    <w:p w:rsidR="00973428" w:rsidP="004E0D16">
      <w:pPr>
        <w:pStyle w:val="NoPaddingFontSize1"/>
      </w:pPr>
    </w:p>
    <w:p w:rsidR="00000000" w:rsidRPr="004E0D16" w:rsidP="004E0D16">
      <w:pPr>
        <w:pStyle w:val="Heading1"/>
      </w:pPr>
      <w:bookmarkStart w:id="9" w:name="O_1196740"/>
      <w:bookmarkEnd w:id="9"/>
      <w:r w:rsidRPr="004E0D1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D16" w:rsidP="004E0D16">
            <w:pPr>
              <w:pStyle w:val="BodyText"/>
            </w:pPr>
            <w:r w:rsidRPr="004E0D16">
              <w:t>This unit replaces and is equivalent to TLID3014 Load and unload vehicles carrying special loads.</w:t>
            </w:r>
          </w:p>
        </w:tc>
      </w:tr>
    </w:tbl>
    <w:p w:rsidR="00000000" w:rsidRPr="004E0D16" w:rsidP="004E0D16">
      <w:pPr>
        <w:pStyle w:val="NoPaddingFontSize1"/>
      </w:pPr>
    </w:p>
    <w:p w:rsidR="00000000" w:rsidRPr="004E0D16" w:rsidP="004E0D16">
      <w:pPr>
        <w:pStyle w:val="AllowPageBreak"/>
      </w:pPr>
    </w:p>
    <w:p w:rsidR="00000000" w:rsidRPr="004E0D16" w:rsidP="004E0D16">
      <w:pPr>
        <w:pStyle w:val="Heading1"/>
      </w:pPr>
      <w:bookmarkStart w:id="10" w:name="O_1196749"/>
      <w:bookmarkEnd w:id="10"/>
      <w:r w:rsidRPr="004E0D16">
        <w:t>Links</w:t>
      </w:r>
    </w:p>
    <w:p w:rsidR="00000000" w:rsidRPr="004E0D16" w:rsidP="00973428">
      <w:pPr>
        <w:pStyle w:val="BodyText"/>
      </w:pPr>
      <w:r w:rsidRPr="004E0D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73EE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0D16" w:rsidP="004E0D16"/>
    <w:sectPr w:rsidSect="004E0D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16" w:rsidRPr="00973428" w:rsidP="00973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28" w:rsidP="004E0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428" w:rsidP="004E0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73428" w:rsidP="004E0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D16" w:rsidRPr="00973428" w:rsidP="00973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28" w:rsidRPr="002D2AF8" w:rsidP="004E0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TLID0001 Load and unload vehicles carrying special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3428" w:rsidP="004E0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FC3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32E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D16"/>
  </w:style>
  <w:style w:type="character" w:customStyle="1" w:styleId="Heading1Char">
    <w:name w:val="Heading 1 Char"/>
    <w:basedOn w:val="DefaultParagraphFont"/>
    <w:link w:val="Heading1"/>
    <w:rsid w:val="004E0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D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0D16"/>
    <w:rPr>
      <w:b/>
      <w:spacing w:val="0"/>
    </w:rPr>
  </w:style>
  <w:style w:type="paragraph" w:styleId="ListBullet2">
    <w:name w:val="List Bullet 2"/>
    <w:basedOn w:val="List2"/>
    <w:rsid w:val="004E0D16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0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D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D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0D1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0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D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D16"/>
    <w:rPr>
      <w:i/>
    </w:rPr>
  </w:style>
  <w:style w:type="paragraph" w:styleId="Caption">
    <w:name w:val="caption"/>
    <w:basedOn w:val="BodyText"/>
    <w:next w:val="Normal"/>
    <w:qFormat/>
    <w:rsid w:val="004E0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D16"/>
  </w:style>
  <w:style w:type="paragraph" w:styleId="TableofFigures">
    <w:name w:val="table of figures"/>
    <w:basedOn w:val="Normal"/>
    <w:next w:val="Normal"/>
    <w:semiHidden/>
    <w:rsid w:val="004E0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D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D16"/>
    <w:rPr>
      <w:rFonts w:ascii="Wingdings" w:hAnsi="Wingdings"/>
    </w:rPr>
  </w:style>
  <w:style w:type="paragraph" w:customStyle="1" w:styleId="TableHeading">
    <w:name w:val="Table Heading"/>
    <w:basedOn w:val="HeadingBase"/>
    <w:rsid w:val="004E0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D16"/>
    <w:rPr>
      <w:color w:val="0033CC"/>
      <w:u w:val="none"/>
    </w:rPr>
  </w:style>
  <w:style w:type="paragraph" w:customStyle="1" w:styleId="BodyTextRight">
    <w:name w:val="Body Text Right"/>
    <w:basedOn w:val="BodyText"/>
    <w:rsid w:val="004E0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D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D16"/>
    <w:rPr>
      <w:sz w:val="32"/>
    </w:rPr>
  </w:style>
  <w:style w:type="paragraph" w:customStyle="1" w:styleId="HeadingProcedure">
    <w:name w:val="Heading Procedure"/>
    <w:basedOn w:val="HeadingBase"/>
    <w:next w:val="Normal"/>
    <w:rsid w:val="004E0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D16"/>
    <w:pPr>
      <w:spacing w:before="60" w:after="60"/>
    </w:pPr>
  </w:style>
  <w:style w:type="paragraph" w:styleId="ListContinue">
    <w:name w:val="List Continue"/>
    <w:basedOn w:val="List"/>
    <w:rsid w:val="004E0D16"/>
    <w:pPr>
      <w:ind w:firstLine="0"/>
    </w:pPr>
  </w:style>
  <w:style w:type="paragraph" w:customStyle="1" w:styleId="ListNote">
    <w:name w:val="List Note"/>
    <w:basedOn w:val="List"/>
    <w:rsid w:val="004E0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D16"/>
    <w:rPr>
      <w:rFonts w:ascii="Courier New" w:hAnsi="Courier New"/>
    </w:rPr>
  </w:style>
  <w:style w:type="paragraph" w:customStyle="1" w:styleId="NoteBullet">
    <w:name w:val="Note Bullet"/>
    <w:basedOn w:val="Note"/>
    <w:rsid w:val="004E0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D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D16"/>
    <w:rPr>
      <w:b/>
      <w:smallCaps/>
    </w:rPr>
  </w:style>
  <w:style w:type="paragraph" w:customStyle="1" w:styleId="TableListNumber">
    <w:name w:val="Table List Number"/>
    <w:basedOn w:val="ListNumber"/>
    <w:rsid w:val="004E0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D16"/>
    <w:pPr>
      <w:numPr>
        <w:numId w:val="8"/>
      </w:numPr>
    </w:pPr>
  </w:style>
  <w:style w:type="paragraph" w:customStyle="1" w:styleId="ListAlpha2">
    <w:name w:val="List Alpha 2"/>
    <w:basedOn w:val="List2"/>
    <w:rsid w:val="004E0D16"/>
    <w:pPr>
      <w:numPr>
        <w:numId w:val="7"/>
      </w:numPr>
    </w:pPr>
  </w:style>
  <w:style w:type="paragraph" w:styleId="List2">
    <w:name w:val="List 2"/>
    <w:basedOn w:val="BodyText"/>
    <w:rsid w:val="004E0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D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D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D16"/>
    <w:pPr>
      <w:numPr>
        <w:numId w:val="3"/>
      </w:numPr>
    </w:pPr>
  </w:style>
  <w:style w:type="paragraph" w:styleId="ListContinue2">
    <w:name w:val="List Continue 2"/>
    <w:basedOn w:val="List2"/>
    <w:rsid w:val="004E0D16"/>
    <w:pPr>
      <w:ind w:firstLine="0"/>
    </w:pPr>
  </w:style>
  <w:style w:type="paragraph" w:styleId="ListContinue3">
    <w:name w:val="List Continue 3"/>
    <w:basedOn w:val="List3"/>
    <w:rsid w:val="004E0D16"/>
    <w:pPr>
      <w:ind w:left="1021" w:firstLine="0"/>
    </w:pPr>
  </w:style>
  <w:style w:type="paragraph" w:styleId="ListContinue4">
    <w:name w:val="List Continue 4"/>
    <w:basedOn w:val="List4"/>
    <w:rsid w:val="004E0D16"/>
    <w:pPr>
      <w:ind w:firstLine="0"/>
    </w:pPr>
  </w:style>
  <w:style w:type="paragraph" w:styleId="ListContinue5">
    <w:name w:val="List Continue 5"/>
    <w:basedOn w:val="List5"/>
    <w:rsid w:val="004E0D16"/>
    <w:pPr>
      <w:ind w:firstLine="0"/>
    </w:pPr>
  </w:style>
  <w:style w:type="paragraph" w:styleId="ListNumber3">
    <w:name w:val="List Number 3"/>
    <w:basedOn w:val="List3"/>
    <w:rsid w:val="004E0D16"/>
    <w:pPr>
      <w:numPr>
        <w:numId w:val="4"/>
      </w:numPr>
    </w:pPr>
  </w:style>
  <w:style w:type="paragraph" w:styleId="ListNumber4">
    <w:name w:val="List Number 4"/>
    <w:basedOn w:val="List4"/>
    <w:rsid w:val="004E0D16"/>
    <w:pPr>
      <w:numPr>
        <w:numId w:val="5"/>
      </w:numPr>
    </w:pPr>
  </w:style>
  <w:style w:type="paragraph" w:styleId="ListNumber5">
    <w:name w:val="List Number 5"/>
    <w:basedOn w:val="List5"/>
    <w:rsid w:val="004E0D16"/>
    <w:pPr>
      <w:numPr>
        <w:numId w:val="6"/>
      </w:numPr>
    </w:pPr>
  </w:style>
  <w:style w:type="paragraph" w:styleId="BlockText">
    <w:name w:val="Block Text"/>
    <w:basedOn w:val="Normal"/>
    <w:rsid w:val="004E0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D16"/>
    <w:rPr>
      <w:sz w:val="16"/>
      <w:vertAlign w:val="superscript"/>
    </w:rPr>
  </w:style>
  <w:style w:type="character" w:customStyle="1" w:styleId="Symbols">
    <w:name w:val="Symbols"/>
    <w:basedOn w:val="DefaultParagraphFont"/>
    <w:rsid w:val="004E0D16"/>
    <w:rPr>
      <w:rFonts w:ascii="Symbol" w:hAnsi="Symbol"/>
    </w:rPr>
  </w:style>
  <w:style w:type="character" w:customStyle="1" w:styleId="MenuOptions">
    <w:name w:val="Menu Options"/>
    <w:basedOn w:val="DefaultParagraphFont"/>
    <w:rsid w:val="004E0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D16"/>
    <w:rPr>
      <w:b/>
    </w:rPr>
  </w:style>
  <w:style w:type="character" w:customStyle="1" w:styleId="Underlined">
    <w:name w:val="Underlined"/>
    <w:basedOn w:val="DefaultParagraphFont"/>
    <w:rsid w:val="004E0D16"/>
    <w:rPr>
      <w:u w:val="single"/>
    </w:rPr>
  </w:style>
  <w:style w:type="paragraph" w:customStyle="1" w:styleId="TableBodyTextRight">
    <w:name w:val="Table Body Text Right"/>
    <w:basedOn w:val="TableBodyText"/>
    <w:rsid w:val="004E0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D16"/>
    <w:rPr>
      <w:sz w:val="18"/>
    </w:rPr>
  </w:style>
  <w:style w:type="paragraph" w:customStyle="1" w:styleId="BodySmallRight">
    <w:name w:val="Body Small Right"/>
    <w:basedOn w:val="BodyTextRight"/>
    <w:rsid w:val="004E0D16"/>
    <w:rPr>
      <w:sz w:val="18"/>
      <w:szCs w:val="18"/>
    </w:rPr>
  </w:style>
  <w:style w:type="paragraph" w:customStyle="1" w:styleId="MarginEdition">
    <w:name w:val="Margin Edition"/>
    <w:basedOn w:val="MarginNote"/>
    <w:rsid w:val="004E0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D16"/>
    <w:rPr>
      <w:sz w:val="2"/>
      <w:szCs w:val="2"/>
    </w:rPr>
  </w:style>
  <w:style w:type="character" w:customStyle="1" w:styleId="Small">
    <w:name w:val="Small"/>
    <w:basedOn w:val="DefaultParagraphFont"/>
    <w:rsid w:val="004E0D16"/>
    <w:rPr>
      <w:sz w:val="16"/>
    </w:rPr>
  </w:style>
  <w:style w:type="paragraph" w:customStyle="1" w:styleId="WideTable">
    <w:name w:val="Wide Table"/>
    <w:basedOn w:val="Normal"/>
    <w:rsid w:val="004E0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D16"/>
  </w:style>
  <w:style w:type="paragraph" w:styleId="Quote">
    <w:name w:val="Quote"/>
    <w:basedOn w:val="Heading1"/>
    <w:link w:val="QuoteChar"/>
    <w:qFormat/>
    <w:rsid w:val="004E0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D16"/>
    <w:pPr>
      <w:pageBreakBefore/>
    </w:pPr>
  </w:style>
  <w:style w:type="paragraph" w:customStyle="1" w:styleId="Border">
    <w:name w:val="Border"/>
    <w:basedOn w:val="Normal"/>
    <w:qFormat/>
    <w:rsid w:val="004E0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D16"/>
    <w:rPr>
      <w:u w:val="single"/>
    </w:rPr>
  </w:style>
  <w:style w:type="character" w:customStyle="1" w:styleId="BoldandItalics">
    <w:name w:val="Bold and Italics"/>
    <w:qFormat/>
    <w:rsid w:val="004E0D16"/>
    <w:rPr>
      <w:b/>
      <w:i/>
      <w:u w:val="none"/>
    </w:rPr>
  </w:style>
  <w:style w:type="paragraph" w:styleId="BalloonText">
    <w:name w:val="Balloon Text"/>
    <w:basedOn w:val="Normal"/>
    <w:link w:val="BalloonTextChar"/>
    <w:rsid w:val="004E0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D16"/>
    <w:pPr>
      <w:spacing w:before="0" w:after="0"/>
    </w:pPr>
  </w:style>
  <w:style w:type="paragraph" w:customStyle="1" w:styleId="BodyTextBold">
    <w:name w:val="Body Text Bold"/>
    <w:basedOn w:val="BodyText"/>
    <w:qFormat/>
    <w:rsid w:val="004E0D16"/>
    <w:rPr>
      <w:b/>
    </w:rPr>
  </w:style>
  <w:style w:type="character" w:styleId="Hyperlink">
    <w:name w:val="Hyperlink"/>
    <w:basedOn w:val="DefaultParagraphFont"/>
    <w:uiPriority w:val="99"/>
    <w:unhideWhenUsed/>
    <w:rsid w:val="00973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3609</Characters>
  <Application>Microsoft Office Word</Application>
  <DocSecurity>0</DocSecurity>
  <Lines>150</Lines>
  <Paragraphs>80</Paragraphs>
  <ScaleCrop>false</ScaleCrop>
  <Company>Author-it Software Corporation Ltd.</Company>
  <LinksUpToDate>false</LinksUpToDate>
  <CharactersWithSpaces>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TLID0001 Load and unload vehicles carrying special loads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