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95B" w:rsidP="000A6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TLIC4070 Tow a disabled heavy vehicle</w:t>
      </w:r>
      <w:r>
        <w:fldChar w:fldCharType="end"/>
      </w:r>
    </w:p>
    <w:p w:rsidR="000A695B" w:rsidP="000A695B">
      <w:pPr>
        <w:pStyle w:val="Version"/>
        <w:sectPr w:rsidSect="004C0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E58" w:rsidP="004C0E58">
      <w:pPr>
        <w:pStyle w:val="SuperHeading"/>
      </w:pPr>
      <w:r w:rsidRPr="004C0E58">
        <w:t>TLIC4070 Tow a disabled heavy vehicle</w:t>
      </w:r>
    </w:p>
    <w:p w:rsidR="00000000" w:rsidRPr="004C0E58" w:rsidP="004C0E58">
      <w:pPr>
        <w:pStyle w:val="Heading1"/>
      </w:pPr>
      <w:bookmarkStart w:id="1" w:name="O_842315"/>
      <w:bookmarkEnd w:id="1"/>
      <w:r w:rsidRPr="004C0E58">
        <w:t>Modification History</w:t>
      </w:r>
    </w:p>
    <w:p w:rsidR="000A695B" w:rsidP="000A695B">
      <w:pPr>
        <w:pStyle w:val="BodyText"/>
      </w:pPr>
      <w:r w:rsidRPr="004C0E58">
        <w:t>Release 1. This is the first release of this unit of competency in the TLI Transport and Logistics Training Package.</w:t>
      </w:r>
    </w:p>
    <w:p w:rsidR="00000000" w:rsidRPr="004C0E58" w:rsidP="004C0E58">
      <w:pPr>
        <w:pStyle w:val="Heading1"/>
      </w:pPr>
      <w:bookmarkStart w:id="2" w:name="O_842316"/>
      <w:bookmarkEnd w:id="2"/>
      <w:r w:rsidRPr="004C0E5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C0E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58" w:rsidP="004C0E58">
            <w:pPr>
              <w:pStyle w:val="BodyText"/>
            </w:pPr>
            <w:r w:rsidRPr="004C0E58">
              <w:t xml:space="preserve">This unit involves the skills and knowledge required to hook-up and unhook a damaged or </w:t>
            </w:r>
            <w:r w:rsidRPr="004C0E58">
              <w:t xml:space="preserve">disabled heavy vehicle. </w:t>
            </w:r>
          </w:p>
          <w:p w:rsidR="00000000" w:rsidRPr="004C0E58" w:rsidP="004C0E58">
            <w:pPr>
              <w:pStyle w:val="BodyText"/>
            </w:pPr>
            <w:r w:rsidRPr="004C0E58">
              <w:t xml:space="preserve">It includes preparing and responding to a call, implementing road safety procedures to commence hook-up, hooking up disabled vehicle, unhooking disabled vehicle and completing towing operations. </w:t>
            </w:r>
          </w:p>
          <w:p w:rsidR="00000000" w:rsidRPr="004C0E58" w:rsidP="004C0E58">
            <w:pPr>
              <w:pStyle w:val="BodyText"/>
            </w:pPr>
            <w:r w:rsidRPr="004C0E58">
              <w:t xml:space="preserve">This unit applies to those working </w:t>
            </w:r>
            <w:r w:rsidRPr="004C0E58">
              <w:t>in the heavy recovery industry. It does not include salvage operations.</w:t>
            </w:r>
          </w:p>
          <w:p w:rsidR="00000000" w:rsidRPr="004C0E58" w:rsidP="004C0E58">
            <w:pPr>
              <w:pStyle w:val="BodyText"/>
            </w:pPr>
            <w:r w:rsidRPr="004C0E58">
              <w:t>No licensing, legislative or certification requirements apply to this unit at the time of publication.</w:t>
            </w:r>
          </w:p>
        </w:tc>
      </w:tr>
    </w:tbl>
    <w:p w:rsidR="000A695B" w:rsidP="004C0E58">
      <w:pPr>
        <w:pStyle w:val="BodyText"/>
      </w:pPr>
    </w:p>
    <w:p w:rsidR="000A695B" w:rsidP="004C0E58">
      <w:pPr>
        <w:pStyle w:val="BodyText"/>
      </w:pPr>
    </w:p>
    <w:p w:rsidR="00000000" w:rsidRPr="004C0E58" w:rsidP="004C0E58">
      <w:pPr>
        <w:pStyle w:val="Heading1"/>
      </w:pPr>
      <w:bookmarkStart w:id="3" w:name="O_842317"/>
      <w:bookmarkEnd w:id="3"/>
      <w:r w:rsidRPr="004C0E58">
        <w:t>Pre-requisite Unit</w:t>
      </w:r>
    </w:p>
    <w:p w:rsidR="000A695B" w:rsidP="000A695B">
      <w:pPr>
        <w:pStyle w:val="BodyText"/>
      </w:pPr>
      <w:r w:rsidRPr="004C0E58">
        <w:t>Not applicable.</w:t>
      </w:r>
    </w:p>
    <w:p w:rsidR="00000000" w:rsidRPr="004C0E58" w:rsidP="004C0E58">
      <w:pPr>
        <w:pStyle w:val="Heading1"/>
      </w:pPr>
      <w:bookmarkStart w:id="4" w:name="O_842318"/>
      <w:bookmarkEnd w:id="4"/>
      <w:r w:rsidRPr="004C0E58">
        <w:t>Competen</w:t>
      </w:r>
      <w:r w:rsidRPr="004C0E58">
        <w:t>cy Field</w:t>
      </w:r>
    </w:p>
    <w:p w:rsidR="000A695B" w:rsidP="000A695B">
      <w:pPr>
        <w:pStyle w:val="BodyText"/>
      </w:pPr>
      <w:r w:rsidRPr="004C0E58">
        <w:t>C – Vehicle Operation</w:t>
      </w:r>
    </w:p>
    <w:p w:rsidR="00000000" w:rsidRPr="004C0E58" w:rsidP="004C0E58">
      <w:pPr>
        <w:pStyle w:val="Heading1"/>
      </w:pPr>
      <w:bookmarkStart w:id="5" w:name="O_842319"/>
      <w:bookmarkEnd w:id="5"/>
      <w:r w:rsidRPr="004C0E58">
        <w:t>Unit Sector</w:t>
      </w:r>
    </w:p>
    <w:p w:rsidR="000A695B" w:rsidP="000A695B">
      <w:pPr>
        <w:pStyle w:val="BodyText"/>
      </w:pPr>
      <w:r w:rsidRPr="004C0E58">
        <w:t>Not applicable.</w:t>
      </w:r>
    </w:p>
    <w:p w:rsidR="00000000" w:rsidRPr="004C0E58" w:rsidP="004C0E58">
      <w:pPr>
        <w:pStyle w:val="Heading1"/>
      </w:pPr>
      <w:bookmarkStart w:id="6" w:name="O_842320"/>
      <w:bookmarkEnd w:id="6"/>
      <w:r w:rsidRPr="004C0E5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58" w:rsidP="004C0E58">
            <w:pPr>
              <w:pStyle w:val="BodyText"/>
            </w:pPr>
            <w:r w:rsidRPr="004C0E5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rPr>
                <w:rStyle w:val="SpecialBold"/>
              </w:rPr>
              <w:t>PERFORMANCE CRITERIA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 xml:space="preserve">Elements describe the </w:t>
            </w:r>
            <w:r w:rsidRPr="004C0E58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 xml:space="preserve">Performance criteria describe the performance needed to </w:t>
            </w:r>
            <w:r w:rsidRPr="004C0E58">
              <w:t>demonstrate achievement of the element.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58" w:rsidP="004C0E58">
            <w:pPr>
              <w:pStyle w:val="BodyText"/>
            </w:pPr>
            <w:r w:rsidRPr="004C0E5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rPr>
                <w:rStyle w:val="SpecialBold"/>
              </w:rPr>
              <w:t>Prepare and respond to call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Equipment is checked, serviced and made operationally ready for use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Tow task information is obtained and type of heavy vehicle and event is determined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Personal protective equipment  is selected relevant to nature of towing operation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Further details of event are received en route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58" w:rsidP="004C0E58">
            <w:pPr>
              <w:pStyle w:val="BodyText"/>
            </w:pPr>
            <w:r w:rsidRPr="004C0E5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rPr>
                <w:rStyle w:val="SpecialBold"/>
              </w:rPr>
              <w:t>Implement road safety procedures to commence hook-up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Disabled vehicle is approached and recovery vehicle is parked in accordance with safe roadside working procedures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Job hazards are identified and required action is taken to minimise, control o</w:t>
            </w:r>
            <w:r w:rsidRPr="004C0E58">
              <w:t>r eliminate identified hazards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 xml:space="preserve">Appropriate action is taken to ensure the safety of all disabled vehicle occupants 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Occupants are moved to recovery vehicle safety, away from road and recovery vehicle equipment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Beacons are placed at immediate approach to breakdown scene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Authorities are notified if there is likelihood of danger or undue delays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All movements between vehicles are confined to nearside if possible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58" w:rsidP="004C0E58">
            <w:pPr>
              <w:pStyle w:val="BodyText"/>
            </w:pPr>
            <w:r w:rsidRPr="004C0E5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rPr>
                <w:rStyle w:val="SpecialBold"/>
              </w:rPr>
              <w:t>Hook-up disabled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Exact nature of problem is correctly diagnosed to decide on correct towing method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Driver of damaged or disabled heavy vehicle is informed about recovery procedures that will be undertaken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Recovery vehicle is safely manoeuvred into position to</w:t>
            </w:r>
            <w:r w:rsidRPr="004C0E58">
              <w:t xml:space="preserve"> facilitate recovery and to minimise inconvenience to traffic flow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 xml:space="preserve">Towing hook-up procedures are used to connect up disabled vehicle for recovery, ensuring safety standards are adequate for tow weight 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Disabled vehicle brake control system is interconnected so brakes can be operated from recovery vehicle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Driveline is disconnected in accordance with manufacturer guidelines and secured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Under lift boom is retracted to shortest position suitabl</w:t>
            </w:r>
            <w:r w:rsidRPr="004C0E58">
              <w:t>e for towing, and lock and check turning clearance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Warning lights and signs are attached in accordance with regulatory requirements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Final checks are unde</w:t>
            </w:r>
            <w:r w:rsidRPr="004C0E58">
              <w:t>rtaken and hook-up of disabled vehicle is completed in accordance with organisational and regulatory requirements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3.10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Disabled vehicle is safely towed using appropriate defensive driving techniques and procedures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58" w:rsidP="004C0E58">
            <w:pPr>
              <w:pStyle w:val="BodyText"/>
            </w:pPr>
            <w:r w:rsidRPr="004C0E5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rPr>
                <w:rStyle w:val="SpecialBold"/>
              </w:rPr>
              <w:t>Unhook disabled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Disabled</w:t>
            </w:r>
            <w:r w:rsidRPr="004C0E58">
              <w:t xml:space="preserve"> vehicle is safely manoeuvred into position in accordance with job requirements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Disabled vehicle brakes are engaged and vehicle is chocked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Unhook procedures are used correctly to safely disconnect disabled vehicle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Removed driveline components that were disconnected are placed near disabled vehicle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Disabled vehicle is positioned in accordance with organisational and customer requirements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58" w:rsidP="004C0E58">
            <w:pPr>
              <w:pStyle w:val="BodyText"/>
            </w:pPr>
            <w:r w:rsidRPr="004C0E58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rPr>
                <w:rStyle w:val="SpecialBold"/>
              </w:rPr>
              <w:t>Conclude towing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Recovery vehicle and equipm</w:t>
            </w:r>
            <w:r w:rsidRPr="004C0E58">
              <w:t>ent are cleaned and serviced in accordance with organisational procedures and manufacturer guidelines, prior to standing down from operation</w:t>
            </w:r>
          </w:p>
        </w:tc>
      </w:tr>
      <w:tr w:rsidTr="000A69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58">
            <w:pPr>
              <w:pStyle w:val="BodyText"/>
              <w:rPr>
                <w:lang w:val="en-NZ"/>
              </w:rPr>
            </w:pPr>
            <w:r w:rsidRPr="004C0E58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58" w:rsidP="004C0E58">
            <w:pPr>
              <w:pStyle w:val="BodyText"/>
            </w:pPr>
            <w:r w:rsidRPr="004C0E58">
              <w:t>Operational documentation is completed in accordance with organisational procedures</w:t>
            </w:r>
          </w:p>
        </w:tc>
      </w:tr>
    </w:tbl>
    <w:p w:rsidR="000A695B" w:rsidP="004C0E58">
      <w:pPr>
        <w:pStyle w:val="BodyText"/>
      </w:pPr>
    </w:p>
    <w:p w:rsidR="000A695B" w:rsidP="004C0E58">
      <w:pPr>
        <w:pStyle w:val="BodyText"/>
      </w:pPr>
    </w:p>
    <w:p w:rsidR="00000000" w:rsidRPr="004C0E58" w:rsidP="004C0E58">
      <w:pPr>
        <w:pStyle w:val="Heading1"/>
      </w:pPr>
      <w:bookmarkStart w:id="7" w:name="O_842321"/>
      <w:bookmarkEnd w:id="7"/>
      <w:r w:rsidRPr="004C0E58">
        <w:t>Foundation Skills</w:t>
      </w:r>
    </w:p>
    <w:p w:rsidR="000A695B" w:rsidP="000A695B">
      <w:pPr>
        <w:pStyle w:val="BodyText"/>
      </w:pPr>
      <w:r w:rsidRPr="004C0E58">
        <w:t>Foundation skills essential to performance are explicit in the performance criteria of this unit of competency.</w:t>
      </w:r>
    </w:p>
    <w:p w:rsidR="00000000" w:rsidRPr="004C0E58" w:rsidP="004C0E58">
      <w:pPr>
        <w:pStyle w:val="Heading1"/>
      </w:pPr>
      <w:bookmarkStart w:id="8" w:name="O_842322"/>
      <w:bookmarkEnd w:id="8"/>
      <w:r w:rsidRPr="004C0E58">
        <w:t>Range of Conditions</w:t>
      </w:r>
    </w:p>
    <w:p w:rsidR="00000000" w:rsidRPr="004C0E58" w:rsidP="000A695B">
      <w:pPr>
        <w:pStyle w:val="BodyText"/>
      </w:pPr>
      <w:r w:rsidRPr="004C0E58">
        <w:t xml:space="preserve">Range is restricted to essential operating conditions and any other variables essential </w:t>
      </w:r>
      <w:r w:rsidRPr="004C0E58">
        <w:t>to the work environment.</w:t>
      </w:r>
    </w:p>
    <w:p w:rsidR="000A695B" w:rsidP="000A695B">
      <w:pPr>
        <w:pStyle w:val="BodyText"/>
      </w:pPr>
      <w:r w:rsidRPr="004C0E58">
        <w:t>Non-essential conditions can be found in the Companion Volume Implementation Guide.</w:t>
      </w:r>
    </w:p>
    <w:p w:rsidR="00000000" w:rsidRPr="004C0E58" w:rsidP="004C0E58">
      <w:pPr>
        <w:pStyle w:val="Heading1"/>
      </w:pPr>
      <w:bookmarkStart w:id="9" w:name="O_842323"/>
      <w:bookmarkEnd w:id="9"/>
      <w:r w:rsidRPr="004C0E58">
        <w:t>Unit Mapping Information</w:t>
      </w:r>
    </w:p>
    <w:p w:rsidR="000A695B" w:rsidP="000A695B">
      <w:pPr>
        <w:pStyle w:val="BodyText"/>
      </w:pPr>
      <w:r w:rsidRPr="004C0E58">
        <w:t>This unit replaces and is equivalent to TLIC4070A Tow a disabled heavy vehicle.</w:t>
      </w:r>
    </w:p>
    <w:p w:rsidR="00000000" w:rsidRPr="004C0E58" w:rsidP="004C0E58">
      <w:pPr>
        <w:pStyle w:val="Heading1"/>
      </w:pPr>
      <w:bookmarkStart w:id="10" w:name="O_842330"/>
      <w:bookmarkEnd w:id="10"/>
      <w:r w:rsidRPr="004C0E58">
        <w:t>Links</w:t>
      </w:r>
    </w:p>
    <w:p w:rsidR="00000000" w:rsidRPr="004C0E58" w:rsidP="000A695B">
      <w:pPr>
        <w:pStyle w:val="BodyText"/>
      </w:pPr>
      <w:r w:rsidRPr="004C0E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972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0E58" w:rsidP="004C0E58"/>
    <w:sectPr w:rsidSect="004C0E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58" w:rsidRPr="000A695B" w:rsidP="000A6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5B" w:rsidP="004C0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95B" w:rsidP="004C0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695B" w:rsidP="004C0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E58" w:rsidRPr="000A695B" w:rsidP="000A6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5B" w:rsidRPr="002D2AF8" w:rsidP="004C0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TLIC4070 Tow a disabled heavy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0A695B" w:rsidP="004C0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E58"/>
  </w:style>
  <w:style w:type="character" w:customStyle="1" w:styleId="Heading1Char">
    <w:name w:val="Heading 1 Char"/>
    <w:basedOn w:val="DefaultParagraphFont"/>
    <w:link w:val="Heading1"/>
    <w:rsid w:val="004C0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E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0E58"/>
    <w:rPr>
      <w:b/>
      <w:spacing w:val="0"/>
    </w:rPr>
  </w:style>
  <w:style w:type="paragraph" w:customStyle="1" w:styleId="SuperHeading">
    <w:name w:val="SuperHeading"/>
    <w:basedOn w:val="Normal"/>
    <w:rsid w:val="004C0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E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E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E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0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E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E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E58"/>
    <w:rPr>
      <w:i/>
    </w:rPr>
  </w:style>
  <w:style w:type="paragraph" w:styleId="Caption">
    <w:name w:val="caption"/>
    <w:basedOn w:val="BodyText"/>
    <w:next w:val="Normal"/>
    <w:qFormat/>
    <w:rsid w:val="004C0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E58"/>
  </w:style>
  <w:style w:type="paragraph" w:styleId="TableofFigures">
    <w:name w:val="table of figures"/>
    <w:basedOn w:val="Normal"/>
    <w:next w:val="Normal"/>
    <w:semiHidden/>
    <w:rsid w:val="004C0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E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0E58"/>
    <w:rPr>
      <w:rFonts w:ascii="Wingdings" w:hAnsi="Wingdings"/>
    </w:rPr>
  </w:style>
  <w:style w:type="paragraph" w:customStyle="1" w:styleId="TableHeading">
    <w:name w:val="Table Heading"/>
    <w:basedOn w:val="HeadingBase"/>
    <w:rsid w:val="004C0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E58"/>
    <w:rPr>
      <w:color w:val="0033CC"/>
      <w:u w:val="none"/>
    </w:rPr>
  </w:style>
  <w:style w:type="paragraph" w:customStyle="1" w:styleId="BodyTextRight">
    <w:name w:val="Body Text Right"/>
    <w:basedOn w:val="BodyText"/>
    <w:rsid w:val="004C0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E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E58"/>
    <w:rPr>
      <w:sz w:val="32"/>
    </w:rPr>
  </w:style>
  <w:style w:type="paragraph" w:customStyle="1" w:styleId="HeadingProcedure">
    <w:name w:val="Heading Procedure"/>
    <w:basedOn w:val="HeadingBase"/>
    <w:next w:val="Normal"/>
    <w:rsid w:val="004C0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E58"/>
    <w:pPr>
      <w:spacing w:before="60" w:after="60"/>
    </w:pPr>
  </w:style>
  <w:style w:type="paragraph" w:styleId="ListContinue">
    <w:name w:val="List Continue"/>
    <w:basedOn w:val="List"/>
    <w:rsid w:val="004C0E58"/>
    <w:pPr>
      <w:ind w:firstLine="0"/>
    </w:pPr>
  </w:style>
  <w:style w:type="paragraph" w:customStyle="1" w:styleId="ListNote">
    <w:name w:val="List Note"/>
    <w:basedOn w:val="List"/>
    <w:rsid w:val="004C0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E58"/>
    <w:rPr>
      <w:rFonts w:ascii="Courier New" w:hAnsi="Courier New"/>
    </w:rPr>
  </w:style>
  <w:style w:type="paragraph" w:customStyle="1" w:styleId="NoteBullet">
    <w:name w:val="Note Bullet"/>
    <w:basedOn w:val="Note"/>
    <w:rsid w:val="004C0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E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0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E58"/>
    <w:rPr>
      <w:b/>
      <w:smallCaps/>
    </w:rPr>
  </w:style>
  <w:style w:type="paragraph" w:customStyle="1" w:styleId="TableListNumber">
    <w:name w:val="Table List Number"/>
    <w:basedOn w:val="ListNumber"/>
    <w:rsid w:val="004C0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E58"/>
    <w:pPr>
      <w:numPr>
        <w:numId w:val="7"/>
      </w:numPr>
    </w:pPr>
  </w:style>
  <w:style w:type="paragraph" w:customStyle="1" w:styleId="ListAlpha2">
    <w:name w:val="List Alpha 2"/>
    <w:basedOn w:val="List2"/>
    <w:rsid w:val="004C0E58"/>
    <w:pPr>
      <w:numPr>
        <w:numId w:val="6"/>
      </w:numPr>
    </w:pPr>
  </w:style>
  <w:style w:type="paragraph" w:styleId="List2">
    <w:name w:val="List 2"/>
    <w:basedOn w:val="BodyText"/>
    <w:rsid w:val="004C0E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E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E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0E58"/>
    <w:pPr>
      <w:numPr>
        <w:numId w:val="2"/>
      </w:numPr>
    </w:pPr>
  </w:style>
  <w:style w:type="paragraph" w:styleId="ListContinue2">
    <w:name w:val="List Continue 2"/>
    <w:basedOn w:val="List2"/>
    <w:rsid w:val="004C0E58"/>
    <w:pPr>
      <w:ind w:firstLine="0"/>
    </w:pPr>
  </w:style>
  <w:style w:type="paragraph" w:styleId="ListContinue3">
    <w:name w:val="List Continue 3"/>
    <w:basedOn w:val="List3"/>
    <w:rsid w:val="004C0E58"/>
    <w:pPr>
      <w:ind w:left="1021" w:firstLine="0"/>
    </w:pPr>
  </w:style>
  <w:style w:type="paragraph" w:styleId="ListContinue4">
    <w:name w:val="List Continue 4"/>
    <w:basedOn w:val="List4"/>
    <w:rsid w:val="004C0E58"/>
    <w:pPr>
      <w:ind w:firstLine="0"/>
    </w:pPr>
  </w:style>
  <w:style w:type="paragraph" w:styleId="ListContinue5">
    <w:name w:val="List Continue 5"/>
    <w:basedOn w:val="List5"/>
    <w:rsid w:val="004C0E58"/>
    <w:pPr>
      <w:ind w:firstLine="0"/>
    </w:pPr>
  </w:style>
  <w:style w:type="paragraph" w:styleId="ListNumber3">
    <w:name w:val="List Number 3"/>
    <w:basedOn w:val="List3"/>
    <w:rsid w:val="004C0E58"/>
    <w:pPr>
      <w:numPr>
        <w:numId w:val="3"/>
      </w:numPr>
    </w:pPr>
  </w:style>
  <w:style w:type="paragraph" w:styleId="ListNumber4">
    <w:name w:val="List Number 4"/>
    <w:basedOn w:val="List4"/>
    <w:rsid w:val="004C0E58"/>
    <w:pPr>
      <w:numPr>
        <w:numId w:val="4"/>
      </w:numPr>
    </w:pPr>
  </w:style>
  <w:style w:type="paragraph" w:styleId="ListNumber5">
    <w:name w:val="List Number 5"/>
    <w:basedOn w:val="List5"/>
    <w:rsid w:val="004C0E58"/>
    <w:pPr>
      <w:numPr>
        <w:numId w:val="5"/>
      </w:numPr>
    </w:pPr>
  </w:style>
  <w:style w:type="paragraph" w:styleId="BlockText">
    <w:name w:val="Block Text"/>
    <w:basedOn w:val="Normal"/>
    <w:rsid w:val="004C0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E58"/>
    <w:rPr>
      <w:sz w:val="16"/>
      <w:vertAlign w:val="superscript"/>
    </w:rPr>
  </w:style>
  <w:style w:type="character" w:customStyle="1" w:styleId="Symbols">
    <w:name w:val="Symbols"/>
    <w:basedOn w:val="DefaultParagraphFont"/>
    <w:rsid w:val="004C0E58"/>
    <w:rPr>
      <w:rFonts w:ascii="Symbol" w:hAnsi="Symbol"/>
    </w:rPr>
  </w:style>
  <w:style w:type="character" w:customStyle="1" w:styleId="MenuOptions">
    <w:name w:val="Menu Options"/>
    <w:basedOn w:val="DefaultParagraphFont"/>
    <w:rsid w:val="004C0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E58"/>
    <w:rPr>
      <w:b/>
    </w:rPr>
  </w:style>
  <w:style w:type="character" w:customStyle="1" w:styleId="Underlined">
    <w:name w:val="Underlined"/>
    <w:basedOn w:val="DefaultParagraphFont"/>
    <w:rsid w:val="004C0E58"/>
    <w:rPr>
      <w:u w:val="single"/>
    </w:rPr>
  </w:style>
  <w:style w:type="paragraph" w:customStyle="1" w:styleId="TableBodyTextRight">
    <w:name w:val="Table Body Text Right"/>
    <w:basedOn w:val="TableBodyText"/>
    <w:rsid w:val="004C0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E58"/>
    <w:rPr>
      <w:sz w:val="18"/>
    </w:rPr>
  </w:style>
  <w:style w:type="paragraph" w:customStyle="1" w:styleId="BodySmallRight">
    <w:name w:val="Body Small Right"/>
    <w:basedOn w:val="BodyTextRight"/>
    <w:rsid w:val="004C0E58"/>
    <w:rPr>
      <w:sz w:val="18"/>
      <w:szCs w:val="18"/>
    </w:rPr>
  </w:style>
  <w:style w:type="paragraph" w:customStyle="1" w:styleId="MarginEdition">
    <w:name w:val="Margin Edition"/>
    <w:basedOn w:val="MarginNote"/>
    <w:rsid w:val="004C0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E58"/>
    <w:rPr>
      <w:sz w:val="2"/>
      <w:szCs w:val="2"/>
    </w:rPr>
  </w:style>
  <w:style w:type="character" w:customStyle="1" w:styleId="Small">
    <w:name w:val="Small"/>
    <w:basedOn w:val="DefaultParagraphFont"/>
    <w:rsid w:val="004C0E58"/>
    <w:rPr>
      <w:sz w:val="16"/>
    </w:rPr>
  </w:style>
  <w:style w:type="paragraph" w:customStyle="1" w:styleId="WideTable">
    <w:name w:val="Wide Table"/>
    <w:basedOn w:val="Normal"/>
    <w:rsid w:val="004C0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E58"/>
  </w:style>
  <w:style w:type="paragraph" w:styleId="Quote">
    <w:name w:val="Quote"/>
    <w:basedOn w:val="Heading1"/>
    <w:link w:val="QuoteChar"/>
    <w:qFormat/>
    <w:rsid w:val="004C0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E58"/>
    <w:pPr>
      <w:pageBreakBefore/>
    </w:pPr>
  </w:style>
  <w:style w:type="paragraph" w:customStyle="1" w:styleId="Border">
    <w:name w:val="Border"/>
    <w:basedOn w:val="Normal"/>
    <w:qFormat/>
    <w:rsid w:val="004C0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E58"/>
    <w:rPr>
      <w:u w:val="single"/>
    </w:rPr>
  </w:style>
  <w:style w:type="character" w:customStyle="1" w:styleId="BoldandItalics">
    <w:name w:val="Bold and Italics"/>
    <w:qFormat/>
    <w:rsid w:val="004C0E58"/>
    <w:rPr>
      <w:b/>
      <w:i/>
      <w:u w:val="none"/>
    </w:rPr>
  </w:style>
  <w:style w:type="paragraph" w:styleId="BalloonText">
    <w:name w:val="Balloon Text"/>
    <w:basedOn w:val="Normal"/>
    <w:link w:val="BalloonTextChar"/>
    <w:rsid w:val="004C0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E58"/>
    <w:pPr>
      <w:spacing w:before="0" w:after="0"/>
    </w:pPr>
  </w:style>
  <w:style w:type="paragraph" w:customStyle="1" w:styleId="BodyTextBold">
    <w:name w:val="Body Text Bold"/>
    <w:basedOn w:val="BodyText"/>
    <w:qFormat/>
    <w:rsid w:val="004C0E58"/>
    <w:rPr>
      <w:b/>
    </w:rPr>
  </w:style>
  <w:style w:type="character" w:styleId="Hyperlink">
    <w:name w:val="Hyperlink"/>
    <w:basedOn w:val="DefaultParagraphFont"/>
    <w:uiPriority w:val="99"/>
    <w:unhideWhenUsed/>
    <w:rsid w:val="000A6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4095</Characters>
  <Application>Microsoft Office Word</Application>
  <DocSecurity>0</DocSecurity>
  <Lines>215</Lines>
  <Paragraphs>116</Paragraphs>
  <ScaleCrop>false</ScaleCrop>
  <Company>Author-it Software Corporation Ltd.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TLIC4070 Tow a disabled heavy vehicle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2021-04-12T02:07:00Z</dcterms:created>
  <dcterms:modified xsi:type="dcterms:W3CDTF">2021-04-12T02:07:00Z</dcterms:modified>
</cp:coreProperties>
</file>