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2457" w:rsidP="00B72457">
      <w:pPr>
        <w:pStyle w:val="Title"/>
      </w:pPr>
      <w:r>
        <w:fldChar w:fldCharType="begin"/>
      </w:r>
      <w:r>
        <w:instrText xml:space="preserve"> TITLE   \* MERGEFORMAT </w:instrText>
      </w:r>
      <w:r>
        <w:fldChar w:fldCharType="separate"/>
      </w:r>
      <w:r>
        <w:t>Assessment Requirements for TLIC4070 Tow a disabled heavy vehicle</w:t>
      </w:r>
      <w:r>
        <w:fldChar w:fldCharType="end"/>
      </w:r>
    </w:p>
    <w:p w:rsidR="00B72457" w:rsidP="00B72457">
      <w:pPr>
        <w:pStyle w:val="Version"/>
        <w:sectPr w:rsidSect="00152B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2B83" w:rsidP="00152B83">
      <w:pPr>
        <w:pStyle w:val="SuperHeading"/>
      </w:pPr>
      <w:r w:rsidRPr="00152B83">
        <w:t>Assessment Requirements for TLIC4070 Tow a disabled heavy vehicle</w:t>
      </w:r>
    </w:p>
    <w:p w:rsidR="00000000" w:rsidRPr="00152B83" w:rsidP="00152B83">
      <w:pPr>
        <w:pStyle w:val="Heading1"/>
      </w:pPr>
      <w:bookmarkStart w:id="1" w:name="O_842325"/>
      <w:bookmarkEnd w:id="1"/>
      <w:r w:rsidRPr="00152B83">
        <w:t>Modification History</w:t>
      </w:r>
    </w:p>
    <w:p w:rsidR="00B72457" w:rsidP="00B72457">
      <w:pPr>
        <w:pStyle w:val="BodyText"/>
      </w:pPr>
      <w:r w:rsidRPr="00152B83">
        <w:t>Release 1. This is the first release of this unit of competency in the TLI Transport and Logistics Training Package.</w:t>
      </w:r>
    </w:p>
    <w:p w:rsidR="00000000" w:rsidRPr="00152B83" w:rsidP="00152B83">
      <w:pPr>
        <w:pStyle w:val="Heading1"/>
      </w:pPr>
      <w:bookmarkStart w:id="2" w:name="O_842326"/>
      <w:bookmarkEnd w:id="2"/>
      <w:r w:rsidRPr="00152B83">
        <w:t>Performance Evidence</w:t>
      </w:r>
    </w:p>
    <w:tbl>
      <w:tblPr>
        <w:tblW w:w="9498" w:type="dxa"/>
        <w:tblLayout w:type="fixed"/>
        <w:tblCellMar>
          <w:left w:w="62" w:type="dxa"/>
          <w:right w:w="62" w:type="dxa"/>
        </w:tblCellMar>
        <w:tblLook w:val="0000"/>
      </w:tblPr>
      <w:tblGrid>
        <w:gridCol w:w="9498"/>
      </w:tblGrid>
      <w:tr w:rsidTr="00152B83">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152B83">
            <w:pPr>
              <w:pStyle w:val="BodyText"/>
              <w:rPr>
                <w:lang w:val="en-NZ"/>
              </w:rPr>
            </w:pPr>
            <w:r w:rsidRPr="00152B83">
              <w:t>Evidence required to demonstrate competence in this unit must be relevant to and satisfy all of the requirements of the elements and performance criteria on at least one occasion and include:</w:t>
            </w:r>
          </w:p>
        </w:tc>
      </w:tr>
      <w:tr w:rsidTr="00152B83">
        <w:tblPrEx>
          <w:tblW w:w="9498" w:type="dxa"/>
          <w:tblLayout w:type="fixed"/>
          <w:tblCellMar>
            <w:left w:w="62" w:type="dxa"/>
            <w:right w:w="62" w:type="dxa"/>
          </w:tblCellMar>
          <w:tblLook w:val="0000"/>
        </w:tblPrEx>
        <w:trPr>
          <w:trHeight w:val="1843"/>
        </w:trPr>
        <w:tc>
          <w:tcPr>
            <w:tcW w:w="9498" w:type="dxa"/>
            <w:tcBorders>
              <w:top w:val="nil"/>
              <w:left w:val="nil"/>
              <w:bottom w:val="nil"/>
              <w:right w:val="nil"/>
            </w:tcBorders>
            <w:tcMar>
              <w:top w:w="0" w:type="dxa"/>
              <w:left w:w="62" w:type="dxa"/>
              <w:bottom w:w="0" w:type="dxa"/>
              <w:right w:w="62" w:type="dxa"/>
            </w:tcMar>
          </w:tcPr>
          <w:p w:rsidR="00000000" w:rsidRPr="00152B83" w:rsidP="00152B83">
            <w:pPr>
              <w:pStyle w:val="ListBullet"/>
            </w:pPr>
            <w:r w:rsidRPr="00152B83">
              <w:t>applying precautions and required actions</w:t>
            </w:r>
            <w:r w:rsidRPr="00152B83">
              <w:t xml:space="preserve"> to minimise, control or eliminate identified hazards </w:t>
            </w:r>
          </w:p>
          <w:p w:rsidR="00000000" w:rsidRPr="00152B83" w:rsidP="00152B83">
            <w:pPr>
              <w:pStyle w:val="ListBullet"/>
            </w:pPr>
            <w:r w:rsidRPr="00152B83">
              <w:t>applying signage in accordance with legislative requirements</w:t>
            </w:r>
          </w:p>
          <w:p w:rsidR="00000000" w:rsidRPr="00152B83" w:rsidP="00152B83">
            <w:pPr>
              <w:pStyle w:val="ListBullet"/>
            </w:pPr>
            <w:r w:rsidRPr="00152B83">
              <w:t xml:space="preserve">checking recovery equipment visually and stowing appropriately </w:t>
            </w:r>
          </w:p>
          <w:p w:rsidR="00000000" w:rsidRPr="00152B83" w:rsidP="00152B83">
            <w:pPr>
              <w:pStyle w:val="ListBullet"/>
            </w:pPr>
            <w:r w:rsidRPr="00152B83">
              <w:t>conducting an equipment check of heavy recovery ancillary equipment</w:t>
            </w:r>
          </w:p>
          <w:p w:rsidR="00000000" w:rsidRPr="00152B83" w:rsidP="00152B83">
            <w:pPr>
              <w:pStyle w:val="ListBullet"/>
            </w:pPr>
            <w:r w:rsidRPr="00152B83">
              <w:t>conformi</w:t>
            </w:r>
            <w:r w:rsidRPr="00152B83">
              <w:t xml:space="preserve">ng to industry and work health and safety (WHS)/occupational health and safety (OHS) standards </w:t>
            </w:r>
          </w:p>
          <w:p w:rsidR="00000000" w:rsidRPr="00152B83" w:rsidP="00152B83">
            <w:pPr>
              <w:pStyle w:val="ListBullet"/>
            </w:pPr>
            <w:r w:rsidRPr="00152B83">
              <w:t>driving and operating recovery vehicle in accordance with legislative requirements</w:t>
            </w:r>
          </w:p>
          <w:p w:rsidR="00000000" w:rsidRPr="00152B83" w:rsidP="00152B83">
            <w:pPr>
              <w:pStyle w:val="ListBullet"/>
            </w:pPr>
            <w:r w:rsidRPr="00152B83">
              <w:t xml:space="preserve">implement contingency plans </w:t>
            </w:r>
          </w:p>
          <w:p w:rsidR="00000000" w:rsidRPr="00152B83" w:rsidP="00152B83">
            <w:pPr>
              <w:pStyle w:val="ListBullet"/>
            </w:pPr>
            <w:r w:rsidRPr="00152B83">
              <w:t>interconnecting brakes and lights from recovery vehicle to disabled vehicle in accordance with legislative requirements</w:t>
            </w:r>
          </w:p>
          <w:p w:rsidR="00000000" w:rsidRPr="00152B83" w:rsidP="00152B83">
            <w:pPr>
              <w:pStyle w:val="ListBullet"/>
            </w:pPr>
            <w:r w:rsidRPr="00152B83">
              <w:t>isolating fault/s to componentry engine, differential, gearbox, chassis</w:t>
            </w:r>
          </w:p>
          <w:p w:rsidR="00000000" w:rsidRPr="00152B83" w:rsidP="00152B83">
            <w:pPr>
              <w:pStyle w:val="ListBullet"/>
            </w:pPr>
            <w:r w:rsidRPr="00152B83">
              <w:t>modifying activities depending on operational contingencies, ris</w:t>
            </w:r>
            <w:r w:rsidRPr="00152B83">
              <w:t>k situations and environments</w:t>
            </w:r>
          </w:p>
          <w:p w:rsidR="00000000" w:rsidRPr="00152B83" w:rsidP="00152B83">
            <w:pPr>
              <w:pStyle w:val="ListBullet"/>
            </w:pPr>
            <w:r w:rsidRPr="00152B83">
              <w:t>monitoring and anticipating traffic hazards and taking appropriate action</w:t>
            </w:r>
          </w:p>
          <w:p w:rsidR="00000000" w:rsidRPr="00152B83" w:rsidP="00152B83">
            <w:pPr>
              <w:pStyle w:val="ListBullet"/>
            </w:pPr>
            <w:r w:rsidRPr="00152B83">
              <w:t>operating and adapting to differences in equipment in accordance with operating procedures</w:t>
            </w:r>
          </w:p>
          <w:p w:rsidR="00000000" w:rsidRPr="00152B83" w:rsidP="00152B83">
            <w:pPr>
              <w:pStyle w:val="ListBullet"/>
            </w:pPr>
            <w:r w:rsidRPr="00152B83">
              <w:t>positioning vehicle at an incident correctly</w:t>
            </w:r>
          </w:p>
          <w:p w:rsidR="00000000" w:rsidRPr="00152B83" w:rsidP="00152B83">
            <w:pPr>
              <w:pStyle w:val="ListBullet"/>
            </w:pPr>
            <w:r w:rsidRPr="00152B83">
              <w:t>selecting and us</w:t>
            </w:r>
            <w:r w:rsidRPr="00152B83">
              <w:t>ing required personal protective equipment  including:</w:t>
            </w:r>
          </w:p>
          <w:p w:rsidR="00000000" w:rsidRPr="00152B83" w:rsidP="00152B83">
            <w:pPr>
              <w:pStyle w:val="ListBullet2"/>
            </w:pPr>
            <w:r w:rsidRPr="00152B83">
              <w:t>gloves</w:t>
            </w:r>
          </w:p>
          <w:p w:rsidR="00000000" w:rsidRPr="00152B83" w:rsidP="00152B83">
            <w:pPr>
              <w:pStyle w:val="ListBullet2"/>
            </w:pPr>
            <w:r w:rsidRPr="00152B83">
              <w:t>safety headwear and footwear</w:t>
            </w:r>
          </w:p>
          <w:p w:rsidR="00000000" w:rsidRPr="00152B83" w:rsidP="00152B83">
            <w:pPr>
              <w:pStyle w:val="ListBullet2"/>
            </w:pPr>
            <w:r w:rsidRPr="00152B83">
              <w:t>safety glasses</w:t>
            </w:r>
          </w:p>
          <w:p w:rsidR="00000000" w:rsidRPr="00152B83" w:rsidP="00152B83">
            <w:pPr>
              <w:pStyle w:val="ListBullet2"/>
            </w:pPr>
            <w:r w:rsidRPr="00152B83">
              <w:t>two-way radio</w:t>
            </w:r>
          </w:p>
          <w:p w:rsidR="00000000" w:rsidRPr="00152B83" w:rsidP="00152B83">
            <w:pPr>
              <w:pStyle w:val="ListBullet2"/>
            </w:pPr>
            <w:r w:rsidRPr="00152B83">
              <w:t>protective clothing</w:t>
            </w:r>
          </w:p>
          <w:p w:rsidR="00000000" w:rsidRPr="00152B83" w:rsidP="00152B83">
            <w:pPr>
              <w:pStyle w:val="ListBullet2"/>
            </w:pPr>
            <w:r w:rsidRPr="00152B83">
              <w:t>high visibility clothing</w:t>
            </w:r>
          </w:p>
          <w:p w:rsidR="00000000" w:rsidRPr="00152B83" w:rsidP="00152B83">
            <w:pPr>
              <w:pStyle w:val="ListBullet2"/>
            </w:pPr>
            <w:r w:rsidRPr="00152B83">
              <w:t>eye wash kit</w:t>
            </w:r>
          </w:p>
          <w:p w:rsidR="00000000" w:rsidRPr="00152B83" w:rsidP="00152B83">
            <w:pPr>
              <w:pStyle w:val="ListBullet"/>
            </w:pPr>
            <w:r w:rsidRPr="00152B83">
              <w:t>servicing heavy recovery vehicle equipment in terms of maintenance schedule and standard operating procedures</w:t>
            </w:r>
          </w:p>
          <w:p w:rsidR="00000000" w:rsidRPr="00152B83" w:rsidP="00152B83">
            <w:pPr>
              <w:pStyle w:val="ListBullet"/>
            </w:pPr>
            <w:r w:rsidRPr="00152B83">
              <w:t>using communications equipment in a recovery situation</w:t>
            </w:r>
          </w:p>
          <w:p w:rsidR="00000000" w:rsidRPr="00152B83" w:rsidP="00152B83">
            <w:pPr>
              <w:pStyle w:val="ListBullet"/>
            </w:pPr>
            <w:r w:rsidRPr="00152B83">
              <w:t xml:space="preserve">working collaboratively with others </w:t>
            </w:r>
          </w:p>
          <w:p w:rsidR="00000000" w:rsidRPr="00152B83" w:rsidP="00152B83">
            <w:pPr>
              <w:pStyle w:val="ListBullet"/>
            </w:pPr>
            <w:r w:rsidRPr="00152B83">
              <w:t>working systematically with required attention to deta</w:t>
            </w:r>
            <w:r w:rsidRPr="00152B83">
              <w:t>il without injury to self or others, or damage to goods or equipment.</w:t>
            </w:r>
          </w:p>
        </w:tc>
      </w:tr>
    </w:tbl>
    <w:p w:rsidR="00000000" w:rsidRPr="00152B83" w:rsidP="00152B83">
      <w:pPr>
        <w:pStyle w:val="BodyText"/>
      </w:pPr>
    </w:p>
    <w:p w:rsidR="00000000" w:rsidRPr="00152B83" w:rsidP="00152B83">
      <w:pPr>
        <w:pStyle w:val="AllowPageBreak"/>
      </w:pPr>
    </w:p>
    <w:p w:rsidR="00000000" w:rsidRPr="00152B83" w:rsidP="00152B83">
      <w:pPr>
        <w:pStyle w:val="Heading1"/>
      </w:pPr>
      <w:bookmarkStart w:id="3" w:name="O_842327"/>
      <w:bookmarkEnd w:id="3"/>
      <w:r w:rsidRPr="00152B83">
        <w:t>Knowledge Evidence</w:t>
      </w:r>
    </w:p>
    <w:tbl>
      <w:tblPr>
        <w:tblW w:w="9498" w:type="dxa"/>
        <w:tblLayout w:type="fixed"/>
        <w:tblCellMar>
          <w:left w:w="62" w:type="dxa"/>
          <w:right w:w="62" w:type="dxa"/>
        </w:tblCellMar>
        <w:tblLook w:val="0000"/>
      </w:tblPr>
      <w:tblGrid>
        <w:gridCol w:w="9498"/>
      </w:tblGrid>
      <w:tr w:rsidTr="00152B83">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152B83">
            <w:pPr>
              <w:pStyle w:val="BodyText"/>
              <w:rPr>
                <w:lang w:val="en-NZ"/>
              </w:rPr>
            </w:pPr>
            <w:r w:rsidRPr="00152B83">
              <w:t xml:space="preserve">Evidence required to demonstrate competence in this unit must be relevant to and satisfy all of the requirements of the elements and performance </w:t>
            </w:r>
            <w:r w:rsidRPr="00152B83">
              <w:t>criteria and include knowledge of:</w:t>
            </w:r>
          </w:p>
        </w:tc>
      </w:tr>
      <w:tr w:rsidTr="00152B83">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152B83" w:rsidP="00152B83">
            <w:pPr>
              <w:pStyle w:val="ListBullet"/>
            </w:pPr>
            <w:r w:rsidRPr="00152B83">
              <w:t>applicable state/territory legislative procedures and codes including:</w:t>
            </w:r>
          </w:p>
          <w:p w:rsidR="00000000" w:rsidRPr="00152B83" w:rsidP="00152B83">
            <w:pPr>
              <w:pStyle w:val="ListBullet2"/>
            </w:pPr>
            <w:r w:rsidRPr="00152B83">
              <w:t>environmental protection legislation and regulations</w:t>
            </w:r>
          </w:p>
          <w:p w:rsidR="00000000" w:rsidRPr="00152B83" w:rsidP="00152B83">
            <w:pPr>
              <w:pStyle w:val="ListBullet2"/>
            </w:pPr>
            <w:r w:rsidRPr="00152B83">
              <w:t>fatigue management regulations</w:t>
            </w:r>
          </w:p>
          <w:p w:rsidR="00000000" w:rsidRPr="00152B83" w:rsidP="00152B83">
            <w:pPr>
              <w:pStyle w:val="ListBullet2"/>
            </w:pPr>
            <w:r w:rsidRPr="00152B83">
              <w:t xml:space="preserve">roads and traffic authority driving regulations and licence or </w:t>
            </w:r>
            <w:r w:rsidRPr="00152B83">
              <w:t xml:space="preserve">permit requirements for operating heavy vehicles on unsealed roads </w:t>
            </w:r>
          </w:p>
          <w:p w:rsidR="00000000" w:rsidRPr="00152B83" w:rsidP="00152B83">
            <w:pPr>
              <w:pStyle w:val="ListBullet2"/>
            </w:pPr>
            <w:r w:rsidRPr="00152B83">
              <w:t xml:space="preserve">road rules </w:t>
            </w:r>
          </w:p>
          <w:p w:rsidR="00000000" w:rsidRPr="00152B83" w:rsidP="00152B83">
            <w:pPr>
              <w:pStyle w:val="ListBullet2"/>
            </w:pPr>
            <w:r w:rsidRPr="00152B83">
              <w:t>WHS/OHS legislation</w:t>
            </w:r>
          </w:p>
          <w:p w:rsidR="00000000" w:rsidRPr="00152B83" w:rsidP="00152B83">
            <w:pPr>
              <w:pStyle w:val="ListBullet"/>
            </w:pPr>
            <w:r w:rsidRPr="00152B83">
              <w:t>appropriate hook-up and unhook processes when towing disabled vehicles including:</w:t>
            </w:r>
          </w:p>
          <w:p w:rsidR="00000000" w:rsidRPr="00152B83" w:rsidP="00152B83">
            <w:pPr>
              <w:pStyle w:val="ListBullet2"/>
            </w:pPr>
            <w:r w:rsidRPr="00152B83">
              <w:t>road registered vehicle with a mechanical failure</w:t>
            </w:r>
          </w:p>
          <w:p w:rsidR="00000000" w:rsidRPr="00152B83" w:rsidP="00152B83">
            <w:pPr>
              <w:pStyle w:val="ListBullet2"/>
            </w:pPr>
            <w:r w:rsidRPr="00152B83">
              <w:t xml:space="preserve">registrable vehicle with a mechanical failure </w:t>
            </w:r>
          </w:p>
          <w:p w:rsidR="00000000" w:rsidRPr="00152B83" w:rsidP="00152B83">
            <w:pPr>
              <w:pStyle w:val="ListBullet2"/>
            </w:pPr>
            <w:r w:rsidRPr="00152B83">
              <w:t>vehicle as described in legislation</w:t>
            </w:r>
          </w:p>
          <w:p w:rsidR="00000000" w:rsidRPr="00152B83" w:rsidP="00152B83">
            <w:pPr>
              <w:pStyle w:val="ListBullet"/>
            </w:pPr>
            <w:r w:rsidRPr="00152B83">
              <w:t>distinguishing features of different types of registrable heavy transport vehicles including:</w:t>
            </w:r>
          </w:p>
          <w:p w:rsidR="00000000" w:rsidRPr="00152B83" w:rsidP="00152B83">
            <w:pPr>
              <w:pStyle w:val="ListBullet2"/>
            </w:pPr>
            <w:r w:rsidRPr="00152B83">
              <w:t>heavy combination</w:t>
            </w:r>
          </w:p>
          <w:p w:rsidR="00000000" w:rsidRPr="00152B83" w:rsidP="00152B83">
            <w:pPr>
              <w:pStyle w:val="ListBullet2"/>
            </w:pPr>
            <w:r w:rsidRPr="00152B83">
              <w:t>heavy rigid</w:t>
            </w:r>
          </w:p>
          <w:p w:rsidR="00000000" w:rsidRPr="00152B83" w:rsidP="00152B83">
            <w:pPr>
              <w:pStyle w:val="ListBullet2"/>
            </w:pPr>
            <w:r w:rsidRPr="00152B83">
              <w:t>light rigid</w:t>
            </w:r>
          </w:p>
          <w:p w:rsidR="00000000" w:rsidRPr="00152B83" w:rsidP="00152B83">
            <w:pPr>
              <w:pStyle w:val="ListBullet2"/>
            </w:pPr>
            <w:r w:rsidRPr="00152B83">
              <w:t>medium rigid</w:t>
            </w:r>
          </w:p>
          <w:p w:rsidR="00000000" w:rsidRPr="00152B83" w:rsidP="00152B83">
            <w:pPr>
              <w:pStyle w:val="ListBullet2"/>
            </w:pPr>
            <w:r w:rsidRPr="00152B83">
              <w:t>multi</w:t>
            </w:r>
            <w:r w:rsidRPr="00152B83">
              <w:noBreakHyphen/>
              <w:t>combination</w:t>
            </w:r>
          </w:p>
          <w:p w:rsidR="00000000" w:rsidRPr="00152B83" w:rsidP="00152B83">
            <w:pPr>
              <w:pStyle w:val="ListBullet2"/>
            </w:pPr>
            <w:r w:rsidRPr="00152B83">
              <w:t>spec</w:t>
            </w:r>
            <w:r w:rsidRPr="00152B83">
              <w:t>ial circumstance vehicle</w:t>
            </w:r>
          </w:p>
          <w:p w:rsidR="00000000" w:rsidRPr="00152B83" w:rsidP="00152B83">
            <w:pPr>
              <w:pStyle w:val="ListBullet"/>
            </w:pPr>
            <w:r w:rsidRPr="00152B83">
              <w:t>documentation and records including:</w:t>
            </w:r>
          </w:p>
          <w:p w:rsidR="00000000" w:rsidRPr="00152B83" w:rsidP="00152B83">
            <w:pPr>
              <w:pStyle w:val="ListBullet2"/>
            </w:pPr>
            <w:r w:rsidRPr="00152B83">
              <w:t>relevant Australian Standards and certification requirements</w:t>
            </w:r>
          </w:p>
          <w:p w:rsidR="00000000" w:rsidRPr="00152B83" w:rsidP="00152B83">
            <w:pPr>
              <w:pStyle w:val="ListBullet2"/>
            </w:pPr>
            <w:r w:rsidRPr="00152B83">
              <w:t>relevant internal data entry books, including logbooks, data sheets and load sheets</w:t>
            </w:r>
          </w:p>
          <w:p w:rsidR="00000000" w:rsidRPr="00152B83" w:rsidP="00152B83">
            <w:pPr>
              <w:pStyle w:val="ListBullet2"/>
            </w:pPr>
            <w:r w:rsidRPr="00152B83">
              <w:t>transport emergency response plan (TERP)</w:t>
            </w:r>
          </w:p>
          <w:p w:rsidR="00000000" w:rsidRPr="00152B83" w:rsidP="00152B83">
            <w:pPr>
              <w:pStyle w:val="ListBullet2"/>
            </w:pPr>
            <w:r w:rsidRPr="00152B83">
              <w:t>transport regulations as they apply to the enterprise, including local authority regulations and procedures</w:t>
            </w:r>
          </w:p>
          <w:p w:rsidR="00000000" w:rsidRPr="00152B83" w:rsidP="00152B83">
            <w:pPr>
              <w:pStyle w:val="ListBullet2"/>
            </w:pPr>
            <w:r w:rsidRPr="00152B83">
              <w:t>workplace policies and procedures</w:t>
            </w:r>
          </w:p>
          <w:p w:rsidR="00000000" w:rsidRPr="00152B83" w:rsidP="00152B83">
            <w:pPr>
              <w:pStyle w:val="ListBullet"/>
            </w:pPr>
            <w:r w:rsidRPr="00152B83">
              <w:t>major components of modern heavy vehicles, including engine, transmission, differential and braking systems</w:t>
            </w:r>
          </w:p>
          <w:p w:rsidR="00000000" w:rsidRPr="00152B83" w:rsidP="00152B83">
            <w:pPr>
              <w:pStyle w:val="ListBullet"/>
            </w:pPr>
            <w:r w:rsidRPr="00152B83">
              <w:t>manuf</w:t>
            </w:r>
            <w:r w:rsidRPr="00152B83">
              <w:t>acturer guidelines for operating towing equipment</w:t>
            </w:r>
          </w:p>
          <w:p w:rsidR="00000000" w:rsidRPr="00152B83" w:rsidP="00152B83">
            <w:pPr>
              <w:pStyle w:val="ListBullet"/>
            </w:pPr>
            <w:r w:rsidRPr="00152B83">
              <w:t>manufacturer guidelines for recovering vehicles and equipment</w:t>
            </w:r>
          </w:p>
          <w:p w:rsidR="00000000" w:rsidRPr="00152B83" w:rsidP="00152B83">
            <w:pPr>
              <w:pStyle w:val="ListBullet"/>
            </w:pPr>
            <w:r w:rsidRPr="00152B83">
              <w:t>procedures for using communications systems effectively</w:t>
            </w:r>
          </w:p>
          <w:p w:rsidR="00000000" w:rsidRPr="00152B83" w:rsidP="00152B83">
            <w:pPr>
              <w:pStyle w:val="ListBullet"/>
            </w:pPr>
            <w:r w:rsidRPr="00152B83">
              <w:t>relevant persons of authority and their roles</w:t>
            </w:r>
          </w:p>
          <w:p w:rsidR="00000000" w:rsidRPr="00152B83" w:rsidP="00152B83">
            <w:pPr>
              <w:pStyle w:val="ListBullet"/>
            </w:pPr>
            <w:r w:rsidRPr="00152B83">
              <w:t>risk assessment procedures to identify haz</w:t>
            </w:r>
            <w:r w:rsidRPr="00152B83">
              <w:t>ards and potential hazards</w:t>
            </w:r>
          </w:p>
          <w:p w:rsidR="00000000" w:rsidRPr="00152B83" w:rsidP="00152B83">
            <w:pPr>
              <w:pStyle w:val="ListBullet"/>
            </w:pPr>
            <w:r w:rsidRPr="00152B83">
              <w:t>techniques for driving safely when towing, with regard to mass and dimension, and other road users</w:t>
            </w:r>
          </w:p>
          <w:p w:rsidR="00000000" w:rsidRPr="00152B83" w:rsidP="00152B83">
            <w:pPr>
              <w:pStyle w:val="ListBullet"/>
            </w:pPr>
            <w:r w:rsidRPr="00152B83">
              <w:t xml:space="preserve">vehicle pre-trip equipment checks and preparation. </w:t>
            </w:r>
          </w:p>
        </w:tc>
      </w:tr>
    </w:tbl>
    <w:p w:rsidR="00B72457" w:rsidP="00152B83">
      <w:pPr>
        <w:pStyle w:val="BodyText"/>
      </w:pPr>
    </w:p>
    <w:p w:rsidR="00B72457" w:rsidP="00152B83">
      <w:pPr>
        <w:pStyle w:val="BodyText"/>
      </w:pPr>
    </w:p>
    <w:p w:rsidR="00000000" w:rsidRPr="00152B83" w:rsidP="00152B83">
      <w:pPr>
        <w:pStyle w:val="Heading1"/>
      </w:pPr>
      <w:bookmarkStart w:id="4" w:name="O_842328"/>
      <w:bookmarkEnd w:id="4"/>
      <w:r w:rsidRPr="00152B83">
        <w:t>Assessment Conditions</w:t>
      </w:r>
    </w:p>
    <w:tbl>
      <w:tblPr>
        <w:tblW w:w="9498" w:type="dxa"/>
        <w:tblLayout w:type="fixed"/>
        <w:tblCellMar>
          <w:left w:w="62" w:type="dxa"/>
          <w:right w:w="62" w:type="dxa"/>
        </w:tblCellMar>
        <w:tblLook w:val="0000"/>
      </w:tblPr>
      <w:tblGrid>
        <w:gridCol w:w="9498"/>
      </w:tblGrid>
      <w:tr w:rsidTr="00152B8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52B83" w:rsidP="00152B83">
            <w:pPr>
              <w:pStyle w:val="BodyText"/>
            </w:pPr>
            <w:r w:rsidRPr="00152B83">
              <w:t xml:space="preserve">As a minimum, assessors must satisfy applicable regulatory requirements, which include requirements in the </w:t>
            </w:r>
            <w:r w:rsidRPr="00152B83">
              <w:rPr>
                <w:rStyle w:val="Emphasis"/>
              </w:rPr>
              <w:t>Standards for Registered Training Organisations</w:t>
            </w:r>
            <w:r w:rsidRPr="00152B83">
              <w:t xml:space="preserve"> current at the time of assessment. </w:t>
            </w:r>
          </w:p>
          <w:p w:rsidR="00000000" w:rsidRPr="00152B83" w:rsidP="00152B83">
            <w:pPr>
              <w:pStyle w:val="BodyText"/>
            </w:pPr>
            <w:r w:rsidRPr="00152B83">
              <w:t>As a minimum, assessment must satisfy applicable regulatory requi</w:t>
            </w:r>
            <w:r w:rsidRPr="00152B83">
              <w:t xml:space="preserve">rements, which include requirements in the </w:t>
            </w:r>
            <w:r w:rsidRPr="00152B83">
              <w:rPr>
                <w:rStyle w:val="Emphasis"/>
              </w:rPr>
              <w:t>Standards for Registered Training Organisations</w:t>
            </w:r>
            <w:r w:rsidRPr="00152B83">
              <w:t xml:space="preserve"> current at the time of assessment.</w:t>
            </w:r>
          </w:p>
          <w:p w:rsidR="00000000" w:rsidRPr="00152B83" w:rsidP="00152B83">
            <w:pPr>
              <w:pStyle w:val="BodyText"/>
            </w:pPr>
            <w:r w:rsidRPr="00152B83">
              <w:t>Assessment processes and techniques must be appropriate to the language, literacy and numeracy requirements of the work being perf</w:t>
            </w:r>
            <w:r w:rsidRPr="00152B83">
              <w:t>ormed and the needs of the candidate.</w:t>
            </w:r>
          </w:p>
          <w:p w:rsidR="00000000" w:rsidRPr="00152B83" w:rsidP="00152B83">
            <w:pPr>
              <w:pStyle w:val="BodyText"/>
            </w:pPr>
            <w:r w:rsidRPr="00152B83">
              <w:t>Assessment must ensure access to:</w:t>
            </w:r>
          </w:p>
          <w:p w:rsidR="00000000" w:rsidRPr="00152B83" w:rsidP="00152B83">
            <w:pPr>
              <w:pStyle w:val="ListBullet"/>
            </w:pPr>
            <w:r w:rsidRPr="00152B83">
              <w:t>a recovery vehicle that is consistent with current industry standards for a heavy recovery vehicle</w:t>
            </w:r>
          </w:p>
          <w:p w:rsidR="00000000" w:rsidRPr="00152B83" w:rsidP="00152B83">
            <w:pPr>
              <w:pStyle w:val="ListBullet"/>
            </w:pPr>
            <w:r w:rsidRPr="00152B83">
              <w:t xml:space="preserve">a vehicle that can be used as a disabled vehicle for the purposes of assessment </w:t>
            </w:r>
          </w:p>
          <w:p w:rsidR="00000000" w:rsidRPr="00152B83" w:rsidP="00152B83">
            <w:pPr>
              <w:pStyle w:val="ListBullet"/>
            </w:pPr>
            <w:r w:rsidRPr="00152B83">
              <w:t>rel</w:t>
            </w:r>
            <w:r w:rsidRPr="00152B83">
              <w:t>evant material, tools, equipment and personal protective equipment currently used in industry</w:t>
            </w:r>
          </w:p>
          <w:p w:rsidR="00000000" w:rsidRPr="00152B83" w:rsidP="00152B83">
            <w:pPr>
              <w:pStyle w:val="ListBullet"/>
            </w:pPr>
            <w:r w:rsidRPr="00152B83">
              <w:t>relevant regulatory and equipment documentation that impacts on work activities.</w:t>
            </w:r>
          </w:p>
          <w:p w:rsidR="00000000" w:rsidRPr="00152B83" w:rsidP="00152B83">
            <w:pPr>
              <w:pStyle w:val="BodyText"/>
            </w:pPr>
            <w:r w:rsidRPr="00152B83">
              <w:t>Simulation is not suitable for final assessment of this unit.</w:t>
            </w:r>
          </w:p>
        </w:tc>
      </w:tr>
    </w:tbl>
    <w:p w:rsidR="00B72457" w:rsidP="00152B83">
      <w:pPr>
        <w:pStyle w:val="BodyText"/>
      </w:pPr>
    </w:p>
    <w:p w:rsidR="00B72457" w:rsidP="00152B83">
      <w:pPr>
        <w:pStyle w:val="BodyText"/>
      </w:pPr>
    </w:p>
    <w:p w:rsidR="00000000" w:rsidRPr="00152B83" w:rsidP="00152B83">
      <w:pPr>
        <w:pStyle w:val="Heading1"/>
      </w:pPr>
      <w:bookmarkStart w:id="5" w:name="O_842331"/>
      <w:bookmarkEnd w:id="5"/>
      <w:r w:rsidRPr="00152B83">
        <w:t>Links</w:t>
      </w:r>
    </w:p>
    <w:p w:rsidR="00000000" w:rsidRPr="00152B83" w:rsidP="00B72457">
      <w:pPr>
        <w:pStyle w:val="BodyText"/>
      </w:pPr>
      <w:r w:rsidRPr="00152B8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B275C">
        <w:rPr>
          <w:rStyle w:val="Hyperlink"/>
        </w:rPr>
        <w:t>https://vetnet.gov.au/Pages/TrainingDocs.aspx?q=df441c6e-213d-43e3-874c-0b3f7036d851</w:t>
      </w:r>
      <w:r>
        <w:fldChar w:fldCharType="end"/>
      </w:r>
    </w:p>
    <w:p w:rsidR="00000000" w:rsidRPr="00152B83" w:rsidP="00152B83"/>
    <w:sectPr w:rsidSect="00152B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B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B83" w:rsidRPr="00B72457" w:rsidP="00B724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B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457" w:rsidP="00152B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2457" w:rsidP="00152B8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72457" w:rsidP="00152B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B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4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2B83" w:rsidRPr="00B72457" w:rsidP="00B724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B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457" w:rsidRPr="002D2AF8" w:rsidP="00152B83">
    <w:pPr>
      <w:pStyle w:val="Header"/>
      <w:framePr w:wrap="around"/>
    </w:pPr>
    <w:r>
      <w:fldChar w:fldCharType="begin"/>
    </w:r>
    <w:r>
      <w:instrText xml:space="preserve"> TITLE   \* MERGEFORMAT </w:instrText>
    </w:r>
    <w:r>
      <w:fldChar w:fldCharType="separate"/>
    </w:r>
    <w:r>
      <w:t>Assessment Requirements for TLIC4070 Tow a disabled heavy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B72457" w:rsidP="00152B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1E48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F032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AC3D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B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2B83"/>
    <w:pPr>
      <w:spacing w:before="360" w:after="60"/>
      <w:outlineLvl w:val="0"/>
    </w:pPr>
    <w:rPr>
      <w:sz w:val="32"/>
    </w:rPr>
  </w:style>
  <w:style w:type="paragraph" w:styleId="Heading2">
    <w:name w:val="heading 2"/>
    <w:basedOn w:val="HeadingBase"/>
    <w:next w:val="BodyText"/>
    <w:link w:val="Heading2Char"/>
    <w:qFormat/>
    <w:rsid w:val="00152B83"/>
    <w:pPr>
      <w:keepLines/>
      <w:spacing w:before="240" w:after="120"/>
      <w:outlineLvl w:val="1"/>
    </w:pPr>
    <w:rPr>
      <w:sz w:val="28"/>
      <w:szCs w:val="40"/>
    </w:rPr>
  </w:style>
  <w:style w:type="paragraph" w:styleId="Heading3">
    <w:name w:val="heading 3"/>
    <w:basedOn w:val="HeadingBase"/>
    <w:next w:val="BodyText"/>
    <w:link w:val="Heading3Char"/>
    <w:qFormat/>
    <w:rsid w:val="00152B83"/>
    <w:pPr>
      <w:spacing w:before="180" w:after="120"/>
      <w:outlineLvl w:val="2"/>
    </w:pPr>
    <w:rPr>
      <w:spacing w:val="-10"/>
      <w:kern w:val="32"/>
    </w:rPr>
  </w:style>
  <w:style w:type="paragraph" w:styleId="Heading4">
    <w:name w:val="heading 4"/>
    <w:basedOn w:val="HeadingBase"/>
    <w:next w:val="BodyText"/>
    <w:link w:val="Heading4Char"/>
    <w:qFormat/>
    <w:rsid w:val="00152B83"/>
    <w:pPr>
      <w:spacing w:before="160" w:after="120"/>
      <w:outlineLvl w:val="3"/>
    </w:pPr>
    <w:rPr>
      <w:sz w:val="22"/>
    </w:rPr>
  </w:style>
  <w:style w:type="paragraph" w:styleId="Heading5">
    <w:name w:val="heading 5"/>
    <w:basedOn w:val="HeadingBase"/>
    <w:next w:val="Normal"/>
    <w:link w:val="Heading5Char"/>
    <w:qFormat/>
    <w:rsid w:val="00152B83"/>
    <w:pPr>
      <w:spacing w:before="80"/>
      <w:outlineLvl w:val="4"/>
    </w:pPr>
    <w:rPr>
      <w:color w:val="918585"/>
      <w:sz w:val="20"/>
    </w:rPr>
  </w:style>
  <w:style w:type="paragraph" w:styleId="Heading6">
    <w:name w:val="heading 6"/>
    <w:basedOn w:val="HeadingBase"/>
    <w:next w:val="Normal"/>
    <w:link w:val="Heading6Char"/>
    <w:qFormat/>
    <w:rsid w:val="00152B83"/>
    <w:pPr>
      <w:spacing w:before="60"/>
      <w:outlineLvl w:val="5"/>
    </w:pPr>
    <w:rPr>
      <w:color w:val="918585"/>
      <w:sz w:val="20"/>
    </w:rPr>
  </w:style>
  <w:style w:type="paragraph" w:styleId="Heading7">
    <w:name w:val="heading 7"/>
    <w:basedOn w:val="Normal"/>
    <w:next w:val="Normal"/>
    <w:link w:val="Heading7Char"/>
    <w:qFormat/>
    <w:rsid w:val="00152B83"/>
    <w:pPr>
      <w:ind w:left="720"/>
      <w:outlineLvl w:val="6"/>
    </w:pPr>
    <w:rPr>
      <w:i/>
    </w:rPr>
  </w:style>
  <w:style w:type="paragraph" w:styleId="Heading8">
    <w:name w:val="heading 8"/>
    <w:basedOn w:val="Normal"/>
    <w:next w:val="Normal"/>
    <w:link w:val="Heading8Char"/>
    <w:qFormat/>
    <w:rsid w:val="00152B83"/>
    <w:pPr>
      <w:ind w:left="720"/>
      <w:outlineLvl w:val="7"/>
    </w:pPr>
    <w:rPr>
      <w:i/>
    </w:rPr>
  </w:style>
  <w:style w:type="paragraph" w:styleId="Heading9">
    <w:name w:val="heading 9"/>
    <w:basedOn w:val="Normal"/>
    <w:next w:val="Normal"/>
    <w:link w:val="Heading9Char"/>
    <w:qFormat/>
    <w:rsid w:val="00152B83"/>
    <w:pPr>
      <w:ind w:left="720"/>
      <w:outlineLvl w:val="8"/>
    </w:pPr>
    <w:rPr>
      <w:i/>
    </w:rPr>
  </w:style>
  <w:style w:type="character" w:default="1" w:styleId="DefaultParagraphFont">
    <w:name w:val="Default Paragraph Font"/>
    <w:uiPriority w:val="1"/>
    <w:unhideWhenUsed/>
    <w:rsid w:val="00152B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B83"/>
  </w:style>
  <w:style w:type="character" w:customStyle="1" w:styleId="Heading1Char">
    <w:name w:val="Heading 1 Char"/>
    <w:basedOn w:val="DefaultParagraphFont"/>
    <w:link w:val="Heading1"/>
    <w:rsid w:val="00152B83"/>
    <w:rPr>
      <w:rFonts w:ascii="Times New Roman" w:eastAsia="Times New Roman" w:hAnsi="Times New Roman" w:cs="Times New Roman"/>
      <w:b/>
      <w:sz w:val="32"/>
      <w:szCs w:val="20"/>
      <w:lang w:eastAsia="en-US"/>
    </w:rPr>
  </w:style>
  <w:style w:type="paragraph" w:styleId="BodyText">
    <w:name w:val="Body Text"/>
    <w:basedOn w:val="Normal"/>
    <w:link w:val="BodyTextChar"/>
    <w:rsid w:val="00152B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2B83"/>
    <w:rPr>
      <w:rFonts w:ascii="Times New Roman" w:eastAsia="Times New Roman" w:hAnsi="Times New Roman" w:cs="Times New Roman"/>
      <w:sz w:val="24"/>
      <w:lang w:eastAsia="en-US"/>
    </w:rPr>
  </w:style>
  <w:style w:type="paragraph" w:styleId="ListBullet">
    <w:name w:val="List Bullet"/>
    <w:basedOn w:val="List"/>
    <w:rsid w:val="00152B83"/>
    <w:pPr>
      <w:numPr>
        <w:numId w:val="12"/>
      </w:numPr>
      <w:tabs>
        <w:tab w:val="clear" w:pos="340"/>
      </w:tabs>
      <w:spacing w:before="40" w:after="40"/>
    </w:pPr>
  </w:style>
  <w:style w:type="paragraph" w:styleId="ListBullet2">
    <w:name w:val="List Bullet 2"/>
    <w:basedOn w:val="List2"/>
    <w:rsid w:val="00152B83"/>
    <w:pPr>
      <w:numPr>
        <w:numId w:val="13"/>
      </w:numPr>
      <w:tabs>
        <w:tab w:val="clear" w:pos="680"/>
      </w:tabs>
    </w:pPr>
  </w:style>
  <w:style w:type="character" w:styleId="Emphasis">
    <w:name w:val="Emphasis"/>
    <w:basedOn w:val="DefaultParagraphFont"/>
    <w:qFormat/>
    <w:rsid w:val="00152B83"/>
    <w:rPr>
      <w:i/>
    </w:rPr>
  </w:style>
  <w:style w:type="paragraph" w:customStyle="1" w:styleId="SuperHeading">
    <w:name w:val="SuperHeading"/>
    <w:basedOn w:val="Normal"/>
    <w:rsid w:val="00152B83"/>
    <w:pPr>
      <w:spacing w:before="240" w:after="120"/>
      <w:outlineLvl w:val="0"/>
    </w:pPr>
    <w:rPr>
      <w:rFonts w:ascii="Times New Roman" w:hAnsi="Times New Roman"/>
      <w:b/>
      <w:sz w:val="32"/>
    </w:rPr>
  </w:style>
  <w:style w:type="paragraph" w:customStyle="1" w:styleId="AllowPageBreak">
    <w:name w:val="AllowPageBreak"/>
    <w:rsid w:val="00152B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2B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B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B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B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B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B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2B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2B83"/>
    <w:rPr>
      <w:rFonts w:ascii="Courier New" w:eastAsia="Times New Roman" w:hAnsi="Courier New" w:cs="Times New Roman"/>
      <w:i/>
      <w:szCs w:val="20"/>
      <w:lang w:eastAsia="en-US"/>
    </w:rPr>
  </w:style>
  <w:style w:type="paragraph" w:customStyle="1" w:styleId="HeadingBase">
    <w:name w:val="Heading Base"/>
    <w:rsid w:val="00152B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B83"/>
    <w:pPr>
      <w:tabs>
        <w:tab w:val="right" w:leader="dot" w:pos="9072"/>
      </w:tabs>
      <w:ind w:left="567"/>
    </w:pPr>
    <w:rPr>
      <w:szCs w:val="22"/>
    </w:rPr>
  </w:style>
  <w:style w:type="paragraph" w:customStyle="1" w:styleId="TOCBase">
    <w:name w:val="TOC Base"/>
    <w:rsid w:val="00152B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B83"/>
    <w:pPr>
      <w:tabs>
        <w:tab w:val="right" w:leader="dot" w:pos="9072"/>
      </w:tabs>
      <w:spacing w:before="40" w:after="40"/>
      <w:ind w:left="284"/>
    </w:pPr>
    <w:rPr>
      <w:rFonts w:ascii="Times New Roman" w:hAnsi="Times New Roman"/>
    </w:rPr>
  </w:style>
  <w:style w:type="paragraph" w:styleId="TOC1">
    <w:name w:val="toc 1"/>
    <w:basedOn w:val="TOCBase"/>
    <w:next w:val="Normal"/>
    <w:rsid w:val="00152B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2B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B83"/>
    <w:rPr>
      <w:rFonts w:ascii="Times New Roman" w:eastAsia="Times New Roman" w:hAnsi="Times New Roman" w:cs="Times New Roman"/>
      <w:sz w:val="16"/>
      <w:lang w:eastAsia="en-US"/>
    </w:rPr>
  </w:style>
  <w:style w:type="paragraph" w:styleId="Title">
    <w:name w:val="Title"/>
    <w:basedOn w:val="HeadingBase"/>
    <w:link w:val="TitleChar"/>
    <w:qFormat/>
    <w:rsid w:val="00152B83"/>
    <w:pPr>
      <w:spacing w:before="5040"/>
      <w:jc w:val="center"/>
    </w:pPr>
    <w:rPr>
      <w:sz w:val="48"/>
      <w:szCs w:val="72"/>
      <w:lang w:val="en-US"/>
    </w:rPr>
  </w:style>
  <w:style w:type="character" w:customStyle="1" w:styleId="TitleChar">
    <w:name w:val="Title Char"/>
    <w:basedOn w:val="DefaultParagraphFont"/>
    <w:link w:val="Title"/>
    <w:rsid w:val="00152B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B83"/>
    <w:pPr>
      <w:tabs>
        <w:tab w:val="left" w:pos="3600"/>
        <w:tab w:val="left" w:pos="3958"/>
      </w:tabs>
    </w:pPr>
  </w:style>
  <w:style w:type="paragraph" w:styleId="List">
    <w:name w:val="List"/>
    <w:basedOn w:val="BodyText"/>
    <w:next w:val="BodyText"/>
    <w:rsid w:val="00152B83"/>
    <w:pPr>
      <w:tabs>
        <w:tab w:val="left" w:pos="340"/>
      </w:tabs>
      <w:spacing w:before="60" w:after="60"/>
      <w:ind w:left="340" w:hanging="340"/>
    </w:pPr>
  </w:style>
  <w:style w:type="paragraph" w:customStyle="1" w:styleId="Note">
    <w:name w:val="Note"/>
    <w:basedOn w:val="BodyText"/>
    <w:rsid w:val="00152B8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2B83"/>
    <w:rPr>
      <w:b/>
      <w:spacing w:val="0"/>
    </w:rPr>
  </w:style>
  <w:style w:type="paragraph" w:customStyle="1" w:styleId="SuperTitle">
    <w:name w:val="SuperTitle"/>
    <w:basedOn w:val="Title"/>
    <w:rsid w:val="00152B83"/>
    <w:pPr>
      <w:framePr w:wrap="auto" w:hAnchor="text" w:y="6049"/>
    </w:pPr>
    <w:rPr>
      <w:color w:val="000000"/>
      <w:sz w:val="40"/>
    </w:rPr>
  </w:style>
  <w:style w:type="paragraph" w:customStyle="1" w:styleId="TOCTitle">
    <w:name w:val="TOCTitle"/>
    <w:basedOn w:val="Heading1"/>
    <w:rsid w:val="00152B83"/>
    <w:pPr>
      <w:spacing w:after="240"/>
      <w:jc w:val="center"/>
      <w:outlineLvl w:val="9"/>
    </w:pPr>
    <w:rPr>
      <w:caps/>
    </w:rPr>
  </w:style>
  <w:style w:type="paragraph" w:customStyle="1" w:styleId="Version">
    <w:name w:val="Version"/>
    <w:rsid w:val="00152B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2B83"/>
    <w:pPr>
      <w:keepNext w:val="0"/>
      <w:tabs>
        <w:tab w:val="right" w:pos="4176"/>
      </w:tabs>
      <w:ind w:left="198" w:hanging="198"/>
    </w:pPr>
    <w:rPr>
      <w:rFonts w:ascii="Garamond" w:hAnsi="Garamond"/>
    </w:rPr>
  </w:style>
  <w:style w:type="paragraph" w:styleId="IndexHeading">
    <w:name w:val="index heading"/>
    <w:basedOn w:val="Normal"/>
    <w:next w:val="Index1"/>
    <w:semiHidden/>
    <w:rsid w:val="00152B83"/>
    <w:pPr>
      <w:spacing w:before="120" w:after="120"/>
    </w:pPr>
    <w:rPr>
      <w:rFonts w:ascii="Arial" w:hAnsi="Arial"/>
      <w:b/>
      <w:color w:val="918585"/>
      <w:sz w:val="24"/>
    </w:rPr>
  </w:style>
  <w:style w:type="paragraph" w:styleId="Header">
    <w:name w:val="header"/>
    <w:basedOn w:val="Normal"/>
    <w:link w:val="HeaderChar"/>
    <w:rsid w:val="00152B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B83"/>
    <w:rPr>
      <w:rFonts w:ascii="Times New Roman" w:eastAsia="Times New Roman" w:hAnsi="Times New Roman" w:cs="Times New Roman"/>
      <w:sz w:val="16"/>
      <w:szCs w:val="20"/>
      <w:lang w:val="en-GB" w:eastAsia="en-US"/>
    </w:rPr>
  </w:style>
  <w:style w:type="paragraph" w:customStyle="1" w:styleId="Chapter">
    <w:name w:val="Chapter"/>
    <w:basedOn w:val="Normal"/>
    <w:rsid w:val="00152B83"/>
    <w:pPr>
      <w:spacing w:before="240"/>
    </w:pPr>
    <w:rPr>
      <w:rFonts w:ascii="Times New Roman" w:hAnsi="Times New Roman"/>
      <w:smallCaps/>
      <w:spacing w:val="80"/>
      <w:sz w:val="28"/>
    </w:rPr>
  </w:style>
  <w:style w:type="paragraph" w:customStyle="1" w:styleId="InChapter">
    <w:name w:val="InChapter"/>
    <w:basedOn w:val="Heading3"/>
    <w:rsid w:val="00152B83"/>
    <w:pPr>
      <w:spacing w:after="240"/>
      <w:outlineLvl w:val="9"/>
    </w:pPr>
    <w:rPr>
      <w:noProof/>
    </w:rPr>
  </w:style>
  <w:style w:type="paragraph" w:styleId="Index2">
    <w:name w:val="index 2"/>
    <w:basedOn w:val="Normal"/>
    <w:next w:val="Normal"/>
    <w:semiHidden/>
    <w:rsid w:val="00152B83"/>
    <w:pPr>
      <w:tabs>
        <w:tab w:val="right" w:pos="4176"/>
      </w:tabs>
      <w:ind w:left="568" w:hanging="284"/>
    </w:pPr>
    <w:rPr>
      <w:rFonts w:ascii="Garamond" w:hAnsi="Garamond"/>
    </w:rPr>
  </w:style>
  <w:style w:type="paragraph" w:customStyle="1" w:styleId="Byline">
    <w:name w:val="Byline"/>
    <w:rsid w:val="00152B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B83"/>
    <w:pPr>
      <w:tabs>
        <w:tab w:val="clear" w:pos="3600"/>
        <w:tab w:val="clear" w:pos="3958"/>
      </w:tabs>
      <w:jc w:val="right"/>
    </w:pPr>
  </w:style>
  <w:style w:type="paragraph" w:styleId="Caption">
    <w:name w:val="caption"/>
    <w:basedOn w:val="BodyText"/>
    <w:next w:val="Normal"/>
    <w:qFormat/>
    <w:rsid w:val="00152B83"/>
    <w:pPr>
      <w:framePr w:w="2268" w:hSpace="181" w:vSpace="181" w:wrap="around" w:vAnchor="text" w:hAnchor="page" w:x="1135" w:y="285" w:anchorLock="1"/>
    </w:pPr>
    <w:rPr>
      <w:i/>
    </w:rPr>
  </w:style>
  <w:style w:type="paragraph" w:customStyle="1" w:styleId="MiniTOCTitle">
    <w:name w:val="MiniTOCTitle"/>
    <w:basedOn w:val="Heading4"/>
    <w:rsid w:val="00152B83"/>
    <w:pPr>
      <w:spacing w:before="240"/>
      <w:outlineLvl w:val="9"/>
    </w:pPr>
    <w:rPr>
      <w:noProof/>
      <w:sz w:val="24"/>
    </w:rPr>
  </w:style>
  <w:style w:type="paragraph" w:customStyle="1" w:styleId="MiniTOCItem">
    <w:name w:val="MiniTOCItem"/>
    <w:basedOn w:val="ListBullet"/>
    <w:rsid w:val="00152B83"/>
    <w:pPr>
      <w:numPr>
        <w:numId w:val="0"/>
      </w:numPr>
      <w:tabs>
        <w:tab w:val="right" w:leader="dot" w:pos="6521"/>
      </w:tabs>
      <w:spacing w:before="0" w:after="0"/>
    </w:pPr>
  </w:style>
  <w:style w:type="paragraph" w:customStyle="1" w:styleId="TOFTitle">
    <w:name w:val="TOFTitle"/>
    <w:basedOn w:val="TOCTitle"/>
    <w:rsid w:val="00152B83"/>
  </w:style>
  <w:style w:type="paragraph" w:styleId="TableofFigures">
    <w:name w:val="table of figures"/>
    <w:basedOn w:val="Normal"/>
    <w:next w:val="Normal"/>
    <w:semiHidden/>
    <w:rsid w:val="00152B83"/>
    <w:pPr>
      <w:tabs>
        <w:tab w:val="right" w:leader="dot" w:pos="9072"/>
      </w:tabs>
      <w:ind w:left="970" w:hanging="403"/>
    </w:pPr>
    <w:rPr>
      <w:rFonts w:ascii="Times New Roman" w:hAnsi="Times New Roman"/>
      <w:b/>
    </w:rPr>
  </w:style>
  <w:style w:type="paragraph" w:styleId="ListNumber">
    <w:name w:val="List Number"/>
    <w:basedOn w:val="List"/>
    <w:rsid w:val="00152B83"/>
    <w:pPr>
      <w:numPr>
        <w:numId w:val="15"/>
      </w:numPr>
      <w:tabs>
        <w:tab w:val="clear" w:pos="340"/>
      </w:tabs>
    </w:pPr>
  </w:style>
  <w:style w:type="character" w:customStyle="1" w:styleId="WingdingSymbols">
    <w:name w:val="Wingding Symbols"/>
    <w:rsid w:val="00152B83"/>
    <w:rPr>
      <w:rFonts w:ascii="Wingdings" w:hAnsi="Wingdings"/>
    </w:rPr>
  </w:style>
  <w:style w:type="paragraph" w:customStyle="1" w:styleId="TableHeading">
    <w:name w:val="Table Heading"/>
    <w:basedOn w:val="HeadingBase"/>
    <w:rsid w:val="00152B83"/>
    <w:pPr>
      <w:keepLines/>
      <w:pBdr>
        <w:bottom w:val="single" w:sz="6" w:space="1" w:color="918585"/>
      </w:pBdr>
      <w:spacing w:before="240"/>
    </w:pPr>
  </w:style>
  <w:style w:type="character" w:customStyle="1" w:styleId="HotSpot">
    <w:name w:val="HotSpot"/>
    <w:rsid w:val="00152B83"/>
    <w:rPr>
      <w:color w:val="0033CC"/>
      <w:u w:val="none"/>
    </w:rPr>
  </w:style>
  <w:style w:type="paragraph" w:customStyle="1" w:styleId="BodyTextRight">
    <w:name w:val="Body Text Right"/>
    <w:basedOn w:val="BodyText"/>
    <w:rsid w:val="00152B83"/>
    <w:pPr>
      <w:spacing w:before="0" w:after="0"/>
      <w:jc w:val="right"/>
    </w:pPr>
  </w:style>
  <w:style w:type="paragraph" w:styleId="Index3">
    <w:name w:val="index 3"/>
    <w:basedOn w:val="ListNumber2"/>
    <w:next w:val="Normal"/>
    <w:semiHidden/>
    <w:rsid w:val="00152B83"/>
    <w:pPr>
      <w:numPr>
        <w:numId w:val="0"/>
      </w:numPr>
      <w:tabs>
        <w:tab w:val="right" w:leader="dot" w:pos="4176"/>
      </w:tabs>
    </w:pPr>
  </w:style>
  <w:style w:type="paragraph" w:styleId="ListNumber2">
    <w:name w:val="List Number 2"/>
    <w:basedOn w:val="List2"/>
    <w:rsid w:val="00152B83"/>
    <w:pPr>
      <w:numPr>
        <w:numId w:val="10"/>
      </w:numPr>
      <w:tabs>
        <w:tab w:val="clear" w:pos="1060"/>
      </w:tabs>
    </w:pPr>
  </w:style>
  <w:style w:type="paragraph" w:customStyle="1" w:styleId="MarginNote">
    <w:name w:val="Margin Note"/>
    <w:basedOn w:val="BodyText"/>
    <w:rsid w:val="00152B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B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B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2B83"/>
    <w:rPr>
      <w:sz w:val="32"/>
    </w:rPr>
  </w:style>
  <w:style w:type="paragraph" w:customStyle="1" w:styleId="HeadingProcedure">
    <w:name w:val="Heading Procedure"/>
    <w:basedOn w:val="HeadingBase"/>
    <w:next w:val="Normal"/>
    <w:rsid w:val="00152B83"/>
    <w:pPr>
      <w:tabs>
        <w:tab w:val="left" w:pos="0"/>
      </w:tabs>
      <w:spacing w:before="120" w:after="60"/>
    </w:pPr>
    <w:rPr>
      <w:i/>
      <w:color w:val="918585"/>
      <w:sz w:val="22"/>
    </w:rPr>
  </w:style>
  <w:style w:type="paragraph" w:customStyle="1" w:styleId="TableBodyText">
    <w:name w:val="Table Body Text"/>
    <w:basedOn w:val="BodyText"/>
    <w:rsid w:val="00152B83"/>
    <w:pPr>
      <w:spacing w:before="60" w:after="60"/>
    </w:pPr>
  </w:style>
  <w:style w:type="paragraph" w:styleId="ListContinue">
    <w:name w:val="List Continue"/>
    <w:basedOn w:val="List"/>
    <w:rsid w:val="00152B83"/>
    <w:pPr>
      <w:ind w:firstLine="0"/>
    </w:pPr>
  </w:style>
  <w:style w:type="paragraph" w:customStyle="1" w:styleId="ListNote">
    <w:name w:val="List Note"/>
    <w:basedOn w:val="List"/>
    <w:rsid w:val="00152B83"/>
    <w:pPr>
      <w:pBdr>
        <w:top w:val="single" w:sz="6" w:space="2" w:color="918585"/>
        <w:bottom w:val="single" w:sz="6" w:space="2" w:color="918585"/>
      </w:pBdr>
      <w:tabs>
        <w:tab w:val="left" w:pos="1021"/>
      </w:tabs>
      <w:ind w:firstLine="0"/>
    </w:pPr>
  </w:style>
  <w:style w:type="paragraph" w:customStyle="1" w:styleId="Warning">
    <w:name w:val="Warning"/>
    <w:basedOn w:val="BodyText"/>
    <w:rsid w:val="00152B83"/>
    <w:pPr>
      <w:shd w:val="clear" w:color="auto" w:fill="D9D9D9"/>
      <w:tabs>
        <w:tab w:val="left" w:pos="992"/>
      </w:tabs>
      <w:ind w:left="119" w:right="119"/>
    </w:pPr>
    <w:rPr>
      <w:sz w:val="20"/>
    </w:rPr>
  </w:style>
  <w:style w:type="paragraph" w:customStyle="1" w:styleId="MarginIcons">
    <w:name w:val="Margin Icons"/>
    <w:basedOn w:val="BodyText"/>
    <w:rsid w:val="00152B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B83"/>
    <w:rPr>
      <w:rFonts w:ascii="Courier New" w:hAnsi="Courier New"/>
    </w:rPr>
  </w:style>
  <w:style w:type="paragraph" w:customStyle="1" w:styleId="NoteBullet">
    <w:name w:val="Note Bullet"/>
    <w:basedOn w:val="Note"/>
    <w:rsid w:val="00152B83"/>
    <w:pPr>
      <w:tabs>
        <w:tab w:val="clear" w:pos="680"/>
      </w:tabs>
      <w:spacing w:before="60" w:after="60"/>
    </w:pPr>
  </w:style>
  <w:style w:type="paragraph" w:customStyle="1" w:styleId="SubHeading2">
    <w:name w:val="SubHeading2"/>
    <w:basedOn w:val="HeadingBase"/>
    <w:rsid w:val="00152B83"/>
    <w:pPr>
      <w:spacing w:before="240" w:after="60"/>
    </w:pPr>
    <w:rPr>
      <w:sz w:val="20"/>
    </w:rPr>
  </w:style>
  <w:style w:type="paragraph" w:customStyle="1" w:styleId="SubHeading1">
    <w:name w:val="SubHeading1"/>
    <w:basedOn w:val="HeadingBase"/>
    <w:rsid w:val="00152B83"/>
    <w:pPr>
      <w:spacing w:before="240" w:after="60"/>
    </w:pPr>
    <w:rPr>
      <w:color w:val="918585"/>
      <w:sz w:val="22"/>
    </w:rPr>
  </w:style>
  <w:style w:type="paragraph" w:customStyle="1" w:styleId="SideHeading">
    <w:name w:val="Side Heading"/>
    <w:basedOn w:val="HeadingBase"/>
    <w:rsid w:val="00152B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B83"/>
    <w:pPr>
      <w:tabs>
        <w:tab w:val="num" w:pos="360"/>
      </w:tabs>
    </w:pPr>
  </w:style>
  <w:style w:type="paragraph" w:styleId="PlainText">
    <w:name w:val="Plain Text"/>
    <w:basedOn w:val="Normal"/>
    <w:link w:val="PlainTextChar"/>
    <w:rsid w:val="00152B83"/>
    <w:rPr>
      <w:sz w:val="20"/>
    </w:rPr>
  </w:style>
  <w:style w:type="character" w:customStyle="1" w:styleId="PlainTextChar">
    <w:name w:val="Plain Text Char"/>
    <w:basedOn w:val="DefaultParagraphFont"/>
    <w:link w:val="PlainText"/>
    <w:rsid w:val="00152B83"/>
    <w:rPr>
      <w:rFonts w:ascii="Courier New" w:eastAsia="Times New Roman" w:hAnsi="Courier New" w:cs="Times New Roman"/>
      <w:sz w:val="20"/>
      <w:szCs w:val="20"/>
      <w:lang w:eastAsia="en-US"/>
    </w:rPr>
  </w:style>
  <w:style w:type="character" w:customStyle="1" w:styleId="MenuOption">
    <w:name w:val="Menu Option"/>
    <w:basedOn w:val="DefaultParagraphFont"/>
    <w:rsid w:val="00152B83"/>
    <w:rPr>
      <w:b/>
      <w:smallCaps/>
    </w:rPr>
  </w:style>
  <w:style w:type="paragraph" w:customStyle="1" w:styleId="TableListNumber">
    <w:name w:val="Table List Number"/>
    <w:basedOn w:val="ListNumber"/>
    <w:rsid w:val="00152B83"/>
    <w:pPr>
      <w:numPr>
        <w:numId w:val="0"/>
      </w:numPr>
    </w:pPr>
  </w:style>
  <w:style w:type="paragraph" w:styleId="TOC4">
    <w:name w:val="toc 4"/>
    <w:basedOn w:val="TOCBase"/>
    <w:next w:val="Normal"/>
    <w:semiHidden/>
    <w:rsid w:val="00152B83"/>
    <w:pPr>
      <w:tabs>
        <w:tab w:val="right" w:leader="dot" w:pos="9071"/>
      </w:tabs>
      <w:ind w:left="1701"/>
    </w:pPr>
  </w:style>
  <w:style w:type="paragraph" w:customStyle="1" w:styleId="ListAlpha">
    <w:name w:val="List Alpha"/>
    <w:basedOn w:val="List"/>
    <w:rsid w:val="00152B83"/>
    <w:pPr>
      <w:numPr>
        <w:numId w:val="9"/>
      </w:numPr>
    </w:pPr>
  </w:style>
  <w:style w:type="paragraph" w:customStyle="1" w:styleId="ListAlpha2">
    <w:name w:val="List Alpha 2"/>
    <w:basedOn w:val="List2"/>
    <w:rsid w:val="00152B83"/>
    <w:pPr>
      <w:numPr>
        <w:numId w:val="8"/>
      </w:numPr>
    </w:pPr>
  </w:style>
  <w:style w:type="paragraph" w:styleId="List2">
    <w:name w:val="List 2"/>
    <w:basedOn w:val="BodyText"/>
    <w:rsid w:val="00152B83"/>
    <w:pPr>
      <w:tabs>
        <w:tab w:val="left" w:pos="680"/>
      </w:tabs>
      <w:spacing w:before="60" w:after="60"/>
      <w:ind w:left="680" w:hanging="340"/>
    </w:pPr>
  </w:style>
  <w:style w:type="paragraph" w:styleId="List3">
    <w:name w:val="List 3"/>
    <w:basedOn w:val="BodyText"/>
    <w:rsid w:val="00152B83"/>
    <w:pPr>
      <w:tabs>
        <w:tab w:val="left" w:pos="1021"/>
      </w:tabs>
      <w:spacing w:before="60" w:after="60"/>
      <w:ind w:left="1020" w:hanging="340"/>
    </w:pPr>
  </w:style>
  <w:style w:type="paragraph" w:styleId="List4">
    <w:name w:val="List 4"/>
    <w:basedOn w:val="BodyText"/>
    <w:rsid w:val="00152B83"/>
    <w:pPr>
      <w:tabs>
        <w:tab w:val="left" w:pos="1361"/>
      </w:tabs>
      <w:spacing w:before="60" w:after="60"/>
      <w:ind w:left="1361" w:hanging="340"/>
    </w:pPr>
  </w:style>
  <w:style w:type="paragraph" w:styleId="List5">
    <w:name w:val="List 5"/>
    <w:basedOn w:val="BodyText"/>
    <w:rsid w:val="00152B83"/>
    <w:pPr>
      <w:tabs>
        <w:tab w:val="left" w:pos="1701"/>
      </w:tabs>
      <w:spacing w:before="60" w:after="60"/>
      <w:ind w:left="1701" w:hanging="340"/>
    </w:pPr>
  </w:style>
  <w:style w:type="paragraph" w:styleId="ListBullet3">
    <w:name w:val="List Bullet 3"/>
    <w:basedOn w:val="List3"/>
    <w:rsid w:val="00152B83"/>
    <w:pPr>
      <w:numPr>
        <w:numId w:val="14"/>
      </w:numPr>
      <w:tabs>
        <w:tab w:val="clear" w:pos="1021"/>
      </w:tabs>
      <w:ind w:left="1037" w:hanging="357"/>
    </w:pPr>
  </w:style>
  <w:style w:type="paragraph" w:styleId="ListBullet4">
    <w:name w:val="List Bullet 4"/>
    <w:basedOn w:val="List4"/>
    <w:rsid w:val="00152B83"/>
    <w:pPr>
      <w:numPr>
        <w:numId w:val="3"/>
      </w:numPr>
      <w:tabs>
        <w:tab w:val="clear" w:pos="1361"/>
      </w:tabs>
    </w:pPr>
  </w:style>
  <w:style w:type="paragraph" w:styleId="ListBullet5">
    <w:name w:val="List Bullet 5"/>
    <w:basedOn w:val="List5"/>
    <w:rsid w:val="00152B83"/>
    <w:pPr>
      <w:numPr>
        <w:numId w:val="4"/>
      </w:numPr>
    </w:pPr>
  </w:style>
  <w:style w:type="paragraph" w:styleId="ListContinue2">
    <w:name w:val="List Continue 2"/>
    <w:basedOn w:val="List2"/>
    <w:rsid w:val="00152B83"/>
    <w:pPr>
      <w:ind w:firstLine="0"/>
    </w:pPr>
  </w:style>
  <w:style w:type="paragraph" w:styleId="ListContinue3">
    <w:name w:val="List Continue 3"/>
    <w:basedOn w:val="List3"/>
    <w:rsid w:val="00152B83"/>
    <w:pPr>
      <w:ind w:left="1021" w:firstLine="0"/>
    </w:pPr>
  </w:style>
  <w:style w:type="paragraph" w:styleId="ListContinue4">
    <w:name w:val="List Continue 4"/>
    <w:basedOn w:val="List4"/>
    <w:rsid w:val="00152B83"/>
    <w:pPr>
      <w:ind w:firstLine="0"/>
    </w:pPr>
  </w:style>
  <w:style w:type="paragraph" w:styleId="ListContinue5">
    <w:name w:val="List Continue 5"/>
    <w:basedOn w:val="List5"/>
    <w:rsid w:val="00152B83"/>
    <w:pPr>
      <w:ind w:firstLine="0"/>
    </w:pPr>
  </w:style>
  <w:style w:type="paragraph" w:styleId="ListNumber3">
    <w:name w:val="List Number 3"/>
    <w:basedOn w:val="List3"/>
    <w:rsid w:val="00152B83"/>
    <w:pPr>
      <w:numPr>
        <w:numId w:val="5"/>
      </w:numPr>
    </w:pPr>
  </w:style>
  <w:style w:type="paragraph" w:styleId="ListNumber4">
    <w:name w:val="List Number 4"/>
    <w:basedOn w:val="List4"/>
    <w:rsid w:val="00152B83"/>
    <w:pPr>
      <w:numPr>
        <w:numId w:val="6"/>
      </w:numPr>
    </w:pPr>
  </w:style>
  <w:style w:type="paragraph" w:styleId="ListNumber5">
    <w:name w:val="List Number 5"/>
    <w:basedOn w:val="List5"/>
    <w:rsid w:val="00152B83"/>
    <w:pPr>
      <w:numPr>
        <w:numId w:val="7"/>
      </w:numPr>
    </w:pPr>
  </w:style>
  <w:style w:type="paragraph" w:styleId="BlockText">
    <w:name w:val="Block Text"/>
    <w:basedOn w:val="Normal"/>
    <w:rsid w:val="00152B83"/>
    <w:pPr>
      <w:spacing w:after="120"/>
      <w:ind w:left="1440" w:right="1440"/>
    </w:pPr>
  </w:style>
  <w:style w:type="character" w:customStyle="1" w:styleId="Subscript">
    <w:name w:val="Subscript"/>
    <w:basedOn w:val="DefaultParagraphFont"/>
    <w:rsid w:val="00152B83"/>
    <w:rPr>
      <w:sz w:val="16"/>
      <w:vertAlign w:val="subscript"/>
    </w:rPr>
  </w:style>
  <w:style w:type="character" w:customStyle="1" w:styleId="Superscript">
    <w:name w:val="Superscript"/>
    <w:basedOn w:val="DefaultParagraphFont"/>
    <w:rsid w:val="00152B83"/>
    <w:rPr>
      <w:sz w:val="16"/>
      <w:vertAlign w:val="superscript"/>
    </w:rPr>
  </w:style>
  <w:style w:type="character" w:customStyle="1" w:styleId="Symbols">
    <w:name w:val="Symbols"/>
    <w:basedOn w:val="DefaultParagraphFont"/>
    <w:rsid w:val="00152B83"/>
    <w:rPr>
      <w:rFonts w:ascii="Symbol" w:hAnsi="Symbol"/>
    </w:rPr>
  </w:style>
  <w:style w:type="character" w:customStyle="1" w:styleId="MenuOptions">
    <w:name w:val="Menu Options"/>
    <w:basedOn w:val="DefaultParagraphFont"/>
    <w:rsid w:val="00152B83"/>
    <w:rPr>
      <w:rFonts w:ascii="Arial Narrow" w:hAnsi="Arial Narrow"/>
      <w:smallCaps/>
    </w:rPr>
  </w:style>
  <w:style w:type="character" w:customStyle="1" w:styleId="Buttons">
    <w:name w:val="Buttons"/>
    <w:basedOn w:val="DefaultParagraphFont"/>
    <w:rsid w:val="00152B83"/>
    <w:rPr>
      <w:b/>
    </w:rPr>
  </w:style>
  <w:style w:type="character" w:customStyle="1" w:styleId="Underlined">
    <w:name w:val="Underlined"/>
    <w:basedOn w:val="DefaultParagraphFont"/>
    <w:rsid w:val="00152B83"/>
    <w:rPr>
      <w:u w:val="single"/>
    </w:rPr>
  </w:style>
  <w:style w:type="paragraph" w:customStyle="1" w:styleId="TableBodyTextRight">
    <w:name w:val="Table Body Text Right"/>
    <w:basedOn w:val="TableBodyText"/>
    <w:rsid w:val="00152B83"/>
    <w:pPr>
      <w:widowControl w:val="0"/>
      <w:autoSpaceDE w:val="0"/>
      <w:autoSpaceDN w:val="0"/>
      <w:adjustRightInd w:val="0"/>
      <w:jc w:val="right"/>
    </w:pPr>
    <w:rPr>
      <w:rFonts w:cs="Arial"/>
      <w:szCs w:val="18"/>
    </w:rPr>
  </w:style>
  <w:style w:type="paragraph" w:customStyle="1" w:styleId="CopyrightText">
    <w:name w:val="Copyright Text"/>
    <w:basedOn w:val="BodyText"/>
    <w:rsid w:val="00152B83"/>
    <w:rPr>
      <w:sz w:val="18"/>
    </w:rPr>
  </w:style>
  <w:style w:type="paragraph" w:customStyle="1" w:styleId="BodySmallRight">
    <w:name w:val="Body Small Right"/>
    <w:basedOn w:val="BodyTextRight"/>
    <w:rsid w:val="00152B83"/>
    <w:rPr>
      <w:sz w:val="18"/>
      <w:szCs w:val="18"/>
    </w:rPr>
  </w:style>
  <w:style w:type="paragraph" w:customStyle="1" w:styleId="MarginEdition">
    <w:name w:val="Margin Edition"/>
    <w:basedOn w:val="MarginNote"/>
    <w:rsid w:val="00152B83"/>
    <w:pPr>
      <w:spacing w:before="0" w:after="0"/>
    </w:pPr>
    <w:rPr>
      <w:rFonts w:ascii="Times New Roman" w:hAnsi="Times New Roman"/>
      <w:color w:val="999999"/>
    </w:rPr>
  </w:style>
  <w:style w:type="paragraph" w:customStyle="1" w:styleId="Spacer">
    <w:name w:val="Spacer"/>
    <w:basedOn w:val="Normal"/>
    <w:rsid w:val="00152B83"/>
    <w:rPr>
      <w:sz w:val="2"/>
      <w:szCs w:val="2"/>
    </w:rPr>
  </w:style>
  <w:style w:type="character" w:customStyle="1" w:styleId="Small">
    <w:name w:val="Small"/>
    <w:basedOn w:val="DefaultParagraphFont"/>
    <w:rsid w:val="00152B83"/>
    <w:rPr>
      <w:sz w:val="16"/>
    </w:rPr>
  </w:style>
  <w:style w:type="paragraph" w:customStyle="1" w:styleId="WideTable">
    <w:name w:val="Wide Table"/>
    <w:basedOn w:val="Normal"/>
    <w:rsid w:val="00152B83"/>
    <w:pPr>
      <w:ind w:left="-1418"/>
    </w:pPr>
    <w:rPr>
      <w:sz w:val="2"/>
      <w:szCs w:val="2"/>
    </w:rPr>
  </w:style>
  <w:style w:type="character" w:styleId="PageNumber">
    <w:name w:val="page number"/>
    <w:basedOn w:val="DefaultParagraphFont"/>
    <w:rsid w:val="00152B83"/>
  </w:style>
  <w:style w:type="paragraph" w:styleId="Quote">
    <w:name w:val="Quote"/>
    <w:basedOn w:val="Heading1"/>
    <w:link w:val="QuoteChar"/>
    <w:qFormat/>
    <w:rsid w:val="00152B83"/>
    <w:rPr>
      <w:b w:val="0"/>
      <w:sz w:val="72"/>
      <w:szCs w:val="72"/>
      <w:lang w:val="en-NZ"/>
    </w:rPr>
  </w:style>
  <w:style w:type="character" w:customStyle="1" w:styleId="QuoteChar">
    <w:name w:val="Quote Char"/>
    <w:basedOn w:val="DefaultParagraphFont"/>
    <w:link w:val="Quote"/>
    <w:rsid w:val="00152B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B83"/>
    <w:pPr>
      <w:pageBreakBefore/>
    </w:pPr>
  </w:style>
  <w:style w:type="paragraph" w:customStyle="1" w:styleId="Border">
    <w:name w:val="Border"/>
    <w:basedOn w:val="Normal"/>
    <w:qFormat/>
    <w:rsid w:val="00152B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B83"/>
    <w:rPr>
      <w:b/>
      <w:bCs/>
      <w:i/>
      <w:iCs/>
      <w:color w:val="auto"/>
    </w:rPr>
  </w:style>
  <w:style w:type="paragraph" w:styleId="IntenseQuote">
    <w:name w:val="Intense Quote"/>
    <w:basedOn w:val="Normal"/>
    <w:next w:val="Normal"/>
    <w:link w:val="IntenseQuoteChar"/>
    <w:uiPriority w:val="30"/>
    <w:qFormat/>
    <w:rsid w:val="00152B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B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2B83"/>
    <w:rPr>
      <w:smallCaps/>
      <w:color w:val="auto"/>
      <w:u w:val="single"/>
    </w:rPr>
  </w:style>
  <w:style w:type="character" w:styleId="IntenseReference">
    <w:name w:val="Intense Reference"/>
    <w:basedOn w:val="DefaultParagraphFont"/>
    <w:uiPriority w:val="32"/>
    <w:qFormat/>
    <w:rsid w:val="00152B83"/>
    <w:rPr>
      <w:b/>
      <w:bCs/>
      <w:smallCaps/>
      <w:color w:val="auto"/>
      <w:spacing w:val="5"/>
      <w:u w:val="single"/>
    </w:rPr>
  </w:style>
  <w:style w:type="paragraph" w:customStyle="1" w:styleId="2ColumnHeading">
    <w:name w:val="2Column Heading"/>
    <w:basedOn w:val="BodyText"/>
    <w:qFormat/>
    <w:rsid w:val="00152B83"/>
    <w:pPr>
      <w:spacing w:after="60"/>
      <w:ind w:left="-2268"/>
    </w:pPr>
    <w:rPr>
      <w:b/>
    </w:rPr>
  </w:style>
  <w:style w:type="paragraph" w:customStyle="1" w:styleId="Heading1TOC">
    <w:name w:val="Heading1 TOC"/>
    <w:basedOn w:val="Normal"/>
    <w:qFormat/>
    <w:rsid w:val="00152B83"/>
    <w:pPr>
      <w:spacing w:before="240" w:after="120"/>
    </w:pPr>
    <w:rPr>
      <w:rFonts w:ascii="Times New Roman" w:hAnsi="Times New Roman"/>
      <w:b/>
      <w:sz w:val="32"/>
    </w:rPr>
  </w:style>
  <w:style w:type="paragraph" w:customStyle="1" w:styleId="Heading2TOC">
    <w:name w:val="Heading2 TOC"/>
    <w:basedOn w:val="Normal"/>
    <w:qFormat/>
    <w:rsid w:val="00152B83"/>
    <w:pPr>
      <w:spacing w:before="240" w:after="60"/>
    </w:pPr>
    <w:rPr>
      <w:rFonts w:ascii="Times New Roman" w:hAnsi="Times New Roman"/>
      <w:b/>
      <w:sz w:val="28"/>
    </w:rPr>
  </w:style>
  <w:style w:type="character" w:customStyle="1" w:styleId="Underline">
    <w:name w:val="Underline"/>
    <w:basedOn w:val="DefaultParagraphFont"/>
    <w:qFormat/>
    <w:rsid w:val="00152B83"/>
    <w:rPr>
      <w:u w:val="single"/>
    </w:rPr>
  </w:style>
  <w:style w:type="character" w:customStyle="1" w:styleId="BoldandItalics">
    <w:name w:val="Bold and Italics"/>
    <w:qFormat/>
    <w:rsid w:val="00152B83"/>
    <w:rPr>
      <w:b/>
      <w:i/>
      <w:u w:val="none"/>
    </w:rPr>
  </w:style>
  <w:style w:type="paragraph" w:styleId="BalloonText">
    <w:name w:val="Balloon Text"/>
    <w:basedOn w:val="Normal"/>
    <w:link w:val="BalloonTextChar"/>
    <w:rsid w:val="00152B83"/>
    <w:rPr>
      <w:rFonts w:ascii="Tahoma" w:hAnsi="Tahoma" w:cs="Tahoma"/>
      <w:sz w:val="16"/>
      <w:szCs w:val="16"/>
    </w:rPr>
  </w:style>
  <w:style w:type="character" w:customStyle="1" w:styleId="BalloonTextChar">
    <w:name w:val="Balloon Text Char"/>
    <w:basedOn w:val="DefaultParagraphFont"/>
    <w:link w:val="BalloonText"/>
    <w:rsid w:val="00152B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2B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2B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2B83"/>
    <w:rPr>
      <w:b/>
      <w:color w:val="660033"/>
      <w:spacing w:val="0"/>
    </w:rPr>
  </w:style>
  <w:style w:type="paragraph" w:customStyle="1" w:styleId="Nameditemlist">
    <w:name w:val="Named item list"/>
    <w:basedOn w:val="BodyText"/>
    <w:qFormat/>
    <w:rsid w:val="00152B83"/>
    <w:pPr>
      <w:tabs>
        <w:tab w:val="left" w:pos="2835"/>
      </w:tabs>
      <w:ind w:left="2835" w:hanging="2835"/>
    </w:pPr>
  </w:style>
  <w:style w:type="paragraph" w:customStyle="1" w:styleId="BodyTextnopadding">
    <w:name w:val="Body Text no padding"/>
    <w:basedOn w:val="BodyText"/>
    <w:qFormat/>
    <w:rsid w:val="00152B83"/>
    <w:pPr>
      <w:spacing w:before="0" w:after="0"/>
    </w:pPr>
  </w:style>
  <w:style w:type="paragraph" w:customStyle="1" w:styleId="BodyTextBold">
    <w:name w:val="Body Text Bold"/>
    <w:basedOn w:val="BodyText"/>
    <w:qFormat/>
    <w:rsid w:val="00152B83"/>
    <w:rPr>
      <w:b/>
    </w:rPr>
  </w:style>
  <w:style w:type="character" w:styleId="Hyperlink">
    <w:name w:val="Hyperlink"/>
    <w:basedOn w:val="DefaultParagraphFont"/>
    <w:uiPriority w:val="99"/>
    <w:unhideWhenUsed/>
    <w:rsid w:val="00B724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672</Words>
  <Characters>4543</Characters>
  <Application>Microsoft Office Word</Application>
  <DocSecurity>0</DocSecurity>
  <Lines>110</Lines>
  <Paragraphs>89</Paragraphs>
  <ScaleCrop>false</ScaleCrop>
  <Company>Author-it Software Corporation Ltd.</Company>
  <LinksUpToDate>false</LinksUpToDate>
  <CharactersWithSpaces>5126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TLIC4070 Tow a disabled heavy vehicle</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2021-04-12T02:51:00Z</dcterms:created>
  <dcterms:modified xsi:type="dcterms:W3CDTF">2021-04-12T02:51:00Z</dcterms:modified>
</cp:coreProperties>
</file>