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3C9B" w:rsidP="000E3C9B">
      <w:pPr>
        <w:pStyle w:val="Title"/>
      </w:pPr>
      <w:r>
        <w:fldChar w:fldCharType="begin"/>
      </w:r>
      <w:r>
        <w:instrText xml:space="preserve"> TITLE   \* MERGEFORMAT </w:instrText>
      </w:r>
      <w:r>
        <w:fldChar w:fldCharType="separate"/>
      </w:r>
      <w:r>
        <w:t>TLIC4069 Operate heavy recovery vehicle</w:t>
      </w:r>
      <w:r>
        <w:fldChar w:fldCharType="end"/>
      </w:r>
    </w:p>
    <w:p w:rsidR="000E3C9B" w:rsidP="000E3C9B">
      <w:pPr>
        <w:pStyle w:val="Version"/>
        <w:sectPr w:rsidSect="00C649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49F9" w:rsidP="00C649F9">
      <w:pPr>
        <w:pStyle w:val="SuperHeading"/>
      </w:pPr>
      <w:r w:rsidRPr="00C649F9">
        <w:t>TLIC4069 Operate heavy recovery vehicle</w:t>
      </w:r>
    </w:p>
    <w:p w:rsidR="00000000" w:rsidRPr="00C649F9" w:rsidP="00C649F9">
      <w:pPr>
        <w:pStyle w:val="Heading1"/>
      </w:pPr>
      <w:bookmarkStart w:id="1" w:name="O_842296"/>
      <w:bookmarkEnd w:id="1"/>
      <w:r w:rsidRPr="00C649F9">
        <w:t>Modification History</w:t>
      </w:r>
    </w:p>
    <w:p w:rsidR="000E3C9B" w:rsidP="000E3C9B">
      <w:pPr>
        <w:pStyle w:val="BodyText"/>
      </w:pPr>
      <w:r w:rsidRPr="00C649F9">
        <w:t>Release 1. This is the first release of this unit of competency in the TLI Transport and Logistics Training Package.</w:t>
      </w:r>
    </w:p>
    <w:p w:rsidR="00000000" w:rsidRPr="00C649F9" w:rsidP="00C649F9">
      <w:pPr>
        <w:pStyle w:val="Heading1"/>
      </w:pPr>
      <w:bookmarkStart w:id="2" w:name="O_842297"/>
      <w:bookmarkEnd w:id="2"/>
      <w:r w:rsidRPr="00C649F9">
        <w:t>Application</w:t>
      </w:r>
    </w:p>
    <w:tbl>
      <w:tblPr>
        <w:tblW w:w="9498" w:type="dxa"/>
        <w:tblLayout w:type="fixed"/>
        <w:tblCellMar>
          <w:left w:w="62" w:type="dxa"/>
          <w:right w:w="62" w:type="dxa"/>
        </w:tblCellMar>
        <w:tblLook w:val="0000"/>
      </w:tblPr>
      <w:tblGrid>
        <w:gridCol w:w="9498"/>
      </w:tblGrid>
      <w:tr w:rsidTr="00C649F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649F9" w:rsidP="00C649F9">
            <w:pPr>
              <w:pStyle w:val="BodyText"/>
            </w:pPr>
            <w:r w:rsidRPr="00C649F9">
              <w:t>This unit involves the skills and knowledge required to operate a heavy recovery vehicle</w:t>
            </w:r>
            <w:r w:rsidRPr="00C649F9">
              <w:t>.</w:t>
            </w:r>
          </w:p>
          <w:p w:rsidR="00000000" w:rsidRPr="00C649F9" w:rsidP="00C649F9">
            <w:pPr>
              <w:pStyle w:val="BodyText"/>
            </w:pPr>
            <w:r w:rsidRPr="00C649F9">
              <w:t xml:space="preserve">It includes conducting pre-trip check of vehicle and equipment, travelling to recovery scene, assessing recovery scene, selecting an appropriate recovery method, towing disabled vehicle to delivery point and concluding recovery operations. </w:t>
            </w:r>
          </w:p>
          <w:p w:rsidR="00000000" w:rsidRPr="00C649F9" w:rsidP="00C649F9">
            <w:pPr>
              <w:pStyle w:val="BodyText"/>
            </w:pPr>
            <w:r w:rsidRPr="00C649F9">
              <w:t>This unit app</w:t>
            </w:r>
            <w:r w:rsidRPr="00C649F9">
              <w:t>lies to those working in the heavy recovery industry. It does not include salvage operations.</w:t>
            </w:r>
          </w:p>
          <w:p w:rsidR="00000000" w:rsidRPr="00C649F9" w:rsidP="00C649F9">
            <w:pPr>
              <w:pStyle w:val="BodyText"/>
            </w:pPr>
            <w:r w:rsidRPr="00C649F9">
              <w:t>No licensing, legislative or certification requirements apply to this unit at the time of publication.</w:t>
            </w:r>
          </w:p>
        </w:tc>
      </w:tr>
    </w:tbl>
    <w:p w:rsidR="000E3C9B" w:rsidP="00C649F9">
      <w:pPr>
        <w:pStyle w:val="BodyText"/>
      </w:pPr>
    </w:p>
    <w:p w:rsidR="000E3C9B" w:rsidP="00C649F9">
      <w:pPr>
        <w:pStyle w:val="BodyText"/>
      </w:pPr>
    </w:p>
    <w:p w:rsidR="00000000" w:rsidRPr="00C649F9" w:rsidP="00C649F9">
      <w:pPr>
        <w:pStyle w:val="Heading1"/>
      </w:pPr>
      <w:bookmarkStart w:id="3" w:name="O_842298"/>
      <w:bookmarkEnd w:id="3"/>
      <w:r w:rsidRPr="00C649F9">
        <w:t>Pre-requisite Unit</w:t>
      </w:r>
    </w:p>
    <w:p w:rsidR="000E3C9B" w:rsidP="000E3C9B">
      <w:pPr>
        <w:pStyle w:val="BodyText"/>
      </w:pPr>
      <w:r w:rsidRPr="00C649F9">
        <w:t>Not applicable.</w:t>
      </w:r>
    </w:p>
    <w:p w:rsidR="00000000" w:rsidRPr="00C649F9" w:rsidP="00C649F9">
      <w:pPr>
        <w:pStyle w:val="Heading1"/>
      </w:pPr>
      <w:bookmarkStart w:id="4" w:name="O_842299"/>
      <w:bookmarkEnd w:id="4"/>
      <w:r w:rsidRPr="00C649F9">
        <w:t>Competency Field</w:t>
      </w:r>
    </w:p>
    <w:p w:rsidR="000E3C9B" w:rsidP="000E3C9B">
      <w:pPr>
        <w:pStyle w:val="BodyText"/>
      </w:pPr>
      <w:r w:rsidRPr="00C649F9">
        <w:t>C – Vehicle Operation</w:t>
      </w:r>
    </w:p>
    <w:p w:rsidR="00000000" w:rsidRPr="00C649F9" w:rsidP="00C649F9">
      <w:pPr>
        <w:pStyle w:val="Heading1"/>
      </w:pPr>
      <w:bookmarkStart w:id="5" w:name="O_842300"/>
      <w:bookmarkEnd w:id="5"/>
      <w:r w:rsidRPr="00C649F9">
        <w:t>Unit Sector</w:t>
      </w:r>
    </w:p>
    <w:p w:rsidR="000E3C9B" w:rsidP="000E3C9B">
      <w:pPr>
        <w:pStyle w:val="BodyText"/>
      </w:pPr>
      <w:r w:rsidRPr="00C649F9">
        <w:t>Not applicable.</w:t>
      </w:r>
    </w:p>
    <w:p w:rsidR="00000000" w:rsidRPr="00C649F9" w:rsidP="00C649F9">
      <w:pPr>
        <w:pStyle w:val="Heading1"/>
      </w:pPr>
      <w:bookmarkStart w:id="6" w:name="O_842301"/>
      <w:bookmarkEnd w:id="6"/>
      <w:r w:rsidRPr="00C649F9">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0E3C9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C649F9" w:rsidP="00C649F9">
            <w:pPr>
              <w:pStyle w:val="BodyText"/>
            </w:pPr>
            <w:r w:rsidRPr="00C649F9">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rPr>
                <w:rStyle w:val="SpecialBold"/>
              </w:rPr>
              <w:t>PERFORMANCE CRITERIA</w:t>
            </w:r>
          </w:p>
        </w:tc>
      </w:tr>
      <w:tr w:rsidTr="000E3C9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Performance criteria describe the performance needed to demonstrate achievement of the element.</w:t>
            </w:r>
          </w:p>
        </w:tc>
      </w:tr>
      <w:tr w:rsidTr="000E3C9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649F9" w:rsidP="00C649F9">
            <w:pPr>
              <w:pStyle w:val="BodyText"/>
            </w:pPr>
            <w:r w:rsidRPr="00C649F9">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rPr>
                <w:rStyle w:val="SpecialBold"/>
              </w:rPr>
              <w:t>Conduct pre-trip check of vehicle and equipment</w:t>
            </w:r>
          </w:p>
        </w:tc>
        <w:tc>
          <w:tcPr>
            <w:tcW w:w="719"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1.1</w:t>
            </w:r>
          </w:p>
        </w:tc>
        <w:tc>
          <w:tcPr>
            <w:tcW w:w="6045"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Fuel level is checked to ensure it is appropriate for driving task</w:t>
            </w:r>
          </w:p>
        </w:tc>
      </w:tr>
      <w:tr w:rsidTr="000E3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1.2</w:t>
            </w:r>
          </w:p>
        </w:tc>
        <w:tc>
          <w:tcPr>
            <w:tcW w:w="6045"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Vehicle is inspected visually to ensure it is serviceable</w:t>
            </w:r>
          </w:p>
        </w:tc>
      </w:tr>
      <w:tr w:rsidTr="000E3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1.3</w:t>
            </w:r>
          </w:p>
        </w:tc>
        <w:tc>
          <w:tcPr>
            <w:tcW w:w="6045"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Condensation is drained from air tanks</w:t>
            </w:r>
          </w:p>
        </w:tc>
      </w:tr>
      <w:tr w:rsidTr="000E3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1.4</w:t>
            </w:r>
          </w:p>
        </w:tc>
        <w:tc>
          <w:tcPr>
            <w:tcW w:w="6045"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Recovery/towing equipment and fittings are checked to ensure they are not damaged or misplaced, and are clean and serviceable</w:t>
            </w:r>
          </w:p>
        </w:tc>
      </w:tr>
      <w:tr w:rsidTr="000E3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1.5</w:t>
            </w:r>
          </w:p>
        </w:tc>
        <w:tc>
          <w:tcPr>
            <w:tcW w:w="6045"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Chains, shackles and fittings are checked to ensure they are not damaged or misplaced, and are clean and serviceable</w:t>
            </w:r>
          </w:p>
        </w:tc>
      </w:tr>
      <w:tr w:rsidTr="000E3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1.6</w:t>
            </w:r>
          </w:p>
        </w:tc>
        <w:tc>
          <w:tcPr>
            <w:tcW w:w="6045"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Necessary licences, logbooks and mass permits are checked for currency and that they are located in vehicle</w:t>
            </w:r>
          </w:p>
        </w:tc>
      </w:tr>
      <w:tr w:rsidTr="000E3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1.7</w:t>
            </w:r>
          </w:p>
        </w:tc>
        <w:tc>
          <w:tcPr>
            <w:tcW w:w="6045"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Personal protecti</w:t>
            </w:r>
            <w:r w:rsidRPr="00C649F9">
              <w:t>ve equipment (PPE) is checked to ensure it is available, ready for use, and meets regulatory requirements</w:t>
            </w:r>
          </w:p>
        </w:tc>
      </w:tr>
      <w:tr w:rsidTr="000E3C9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649F9" w:rsidP="00C649F9">
            <w:pPr>
              <w:pStyle w:val="BodyText"/>
            </w:pPr>
            <w:r w:rsidRPr="00C649F9">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rPr>
                <w:rStyle w:val="SpecialBold"/>
              </w:rPr>
              <w:t>Travel to recovery scene</w:t>
            </w:r>
          </w:p>
        </w:tc>
        <w:tc>
          <w:tcPr>
            <w:tcW w:w="719"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2.1</w:t>
            </w:r>
          </w:p>
        </w:tc>
        <w:tc>
          <w:tcPr>
            <w:tcW w:w="6045"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Route is planned in accordance with regulatory and organisational requirements</w:t>
            </w:r>
          </w:p>
        </w:tc>
      </w:tr>
      <w:tr w:rsidTr="000E3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2.2</w:t>
            </w:r>
          </w:p>
        </w:tc>
        <w:tc>
          <w:tcPr>
            <w:tcW w:w="6045"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Recovery vehicle is driven and manoeuvred in accordance with legal requirements, taking into consideration eco-driving techniques, and courtesy and professionalism is exhibited toward other road users</w:t>
            </w:r>
          </w:p>
        </w:tc>
      </w:tr>
      <w:tr w:rsidTr="000E3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2.3</w:t>
            </w:r>
          </w:p>
        </w:tc>
        <w:tc>
          <w:tcPr>
            <w:tcW w:w="6045"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Situational awareness is maintained in following</w:t>
            </w:r>
            <w:r w:rsidRPr="00C649F9">
              <w:t xml:space="preserve"> planned route</w:t>
            </w:r>
          </w:p>
        </w:tc>
      </w:tr>
      <w:tr w:rsidTr="000E3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2.4</w:t>
            </w:r>
          </w:p>
        </w:tc>
        <w:tc>
          <w:tcPr>
            <w:tcW w:w="6045"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When recovery vehicle is legally authorised to drive on hard shoulder and there are stationary queues, extreme care is taken and speed is reduced to minimise danger to vehicles and pedestrians</w:t>
            </w:r>
          </w:p>
        </w:tc>
      </w:tr>
      <w:tr w:rsidTr="000E3C9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649F9" w:rsidP="00C649F9">
            <w:pPr>
              <w:pStyle w:val="BodyText"/>
            </w:pPr>
            <w:r w:rsidRPr="00C649F9">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rPr>
                <w:rStyle w:val="SpecialBold"/>
              </w:rPr>
              <w:t>Assess recovery scene</w:t>
            </w:r>
          </w:p>
        </w:tc>
        <w:tc>
          <w:tcPr>
            <w:tcW w:w="719"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3.1</w:t>
            </w:r>
          </w:p>
        </w:tc>
        <w:tc>
          <w:tcPr>
            <w:tcW w:w="6045"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Directions of enforcement officers and ambulance officers are obeyed</w:t>
            </w:r>
          </w:p>
        </w:tc>
      </w:tr>
      <w:tr w:rsidTr="000E3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3.2</w:t>
            </w:r>
          </w:p>
        </w:tc>
        <w:tc>
          <w:tcPr>
            <w:tcW w:w="6045"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Recovery vehicle is parked in a position to avoid obstruction to authorities, traffic flow and hazard warning lights or beacons</w:t>
            </w:r>
          </w:p>
        </w:tc>
      </w:tr>
      <w:tr w:rsidTr="000E3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3.3</w:t>
            </w:r>
          </w:p>
        </w:tc>
        <w:tc>
          <w:tcPr>
            <w:tcW w:w="6045"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Recovery vehicle is parked in a safe position</w:t>
            </w:r>
            <w:r w:rsidRPr="00C649F9">
              <w:t xml:space="preserve"> with regard to size of recovery unit and ability to protect scene</w:t>
            </w:r>
          </w:p>
        </w:tc>
      </w:tr>
      <w:tr w:rsidTr="000E3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3.4</w:t>
            </w:r>
          </w:p>
        </w:tc>
        <w:tc>
          <w:tcPr>
            <w:tcW w:w="6045"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PPE is used in accordance with regulatory and organisational procedures</w:t>
            </w:r>
          </w:p>
        </w:tc>
      </w:tr>
      <w:tr w:rsidTr="000E3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3.5</w:t>
            </w:r>
          </w:p>
        </w:tc>
        <w:tc>
          <w:tcPr>
            <w:tcW w:w="6045"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Scene reconnaissance is promptly conducted and results are reported</w:t>
            </w:r>
          </w:p>
        </w:tc>
      </w:tr>
      <w:tr w:rsidTr="000E3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3.6</w:t>
            </w:r>
          </w:p>
        </w:tc>
        <w:tc>
          <w:tcPr>
            <w:tcW w:w="6045"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Hazards an</w:t>
            </w:r>
            <w:r w:rsidRPr="00C649F9">
              <w:t>d environmental conditions are assessed and required action is taken to minimise, control or eliminate identified hazards</w:t>
            </w:r>
          </w:p>
        </w:tc>
      </w:tr>
      <w:tr w:rsidTr="000E3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3.7</w:t>
            </w:r>
          </w:p>
        </w:tc>
        <w:tc>
          <w:tcPr>
            <w:tcW w:w="6045"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Communication with others is maintained using appropriate techniques and terminology</w:t>
            </w:r>
          </w:p>
        </w:tc>
      </w:tr>
      <w:tr w:rsidTr="000E3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3.8</w:t>
            </w:r>
          </w:p>
        </w:tc>
        <w:tc>
          <w:tcPr>
            <w:tcW w:w="6045"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Health, safety and security procedures are followed in accordance with organisational policy and relevant legislation</w:t>
            </w:r>
          </w:p>
        </w:tc>
      </w:tr>
      <w:tr w:rsidTr="000E3C9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649F9" w:rsidP="00C649F9">
            <w:pPr>
              <w:pStyle w:val="BodyText"/>
            </w:pPr>
            <w:r w:rsidRPr="00C649F9">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rPr>
                <w:rStyle w:val="SpecialBold"/>
              </w:rPr>
              <w:t>Select recovery method appropriate to desired outcome</w:t>
            </w:r>
          </w:p>
        </w:tc>
        <w:tc>
          <w:tcPr>
            <w:tcW w:w="719"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4.1</w:t>
            </w:r>
          </w:p>
        </w:tc>
        <w:tc>
          <w:tcPr>
            <w:tcW w:w="6045"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Recovery method is determined based on situation requirements and considerati</w:t>
            </w:r>
            <w:r w:rsidRPr="00C649F9">
              <w:t>on of mass and dimension</w:t>
            </w:r>
          </w:p>
        </w:tc>
      </w:tr>
      <w:tr w:rsidTr="000E3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4.2</w:t>
            </w:r>
          </w:p>
        </w:tc>
        <w:tc>
          <w:tcPr>
            <w:tcW w:w="6045"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Resources required and their availability are determined</w:t>
            </w:r>
          </w:p>
        </w:tc>
      </w:tr>
      <w:tr w:rsidTr="000E3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4.3</w:t>
            </w:r>
          </w:p>
        </w:tc>
        <w:tc>
          <w:tcPr>
            <w:tcW w:w="6045"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Recovery method selected is communicated and forthrightly justified to person with responsibility</w:t>
            </w:r>
          </w:p>
        </w:tc>
      </w:tr>
      <w:tr w:rsidTr="000E3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4.4</w:t>
            </w:r>
          </w:p>
        </w:tc>
        <w:tc>
          <w:tcPr>
            <w:tcW w:w="6045"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Approval is gained to start work</w:t>
            </w:r>
          </w:p>
        </w:tc>
      </w:tr>
      <w:tr w:rsidTr="000E3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4.5</w:t>
            </w:r>
          </w:p>
        </w:tc>
        <w:tc>
          <w:tcPr>
            <w:tcW w:w="6045"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Exclusion zone is set up with permission of person with responsibility</w:t>
            </w:r>
          </w:p>
        </w:tc>
      </w:tr>
      <w:tr w:rsidTr="000E3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4.6</w:t>
            </w:r>
          </w:p>
        </w:tc>
        <w:tc>
          <w:tcPr>
            <w:tcW w:w="6045"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Communication with others is maintained to explain recovery progress</w:t>
            </w:r>
          </w:p>
        </w:tc>
      </w:tr>
      <w:tr w:rsidTr="000E3C9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649F9" w:rsidP="00C649F9">
            <w:pPr>
              <w:pStyle w:val="BodyText"/>
            </w:pPr>
            <w:r w:rsidRPr="00C649F9">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rPr>
                <w:rStyle w:val="SpecialBold"/>
              </w:rPr>
              <w:t>Tow disabled vehicle to delivery point</w:t>
            </w:r>
          </w:p>
        </w:tc>
        <w:tc>
          <w:tcPr>
            <w:tcW w:w="719"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5.1</w:t>
            </w:r>
          </w:p>
        </w:tc>
        <w:tc>
          <w:tcPr>
            <w:tcW w:w="6045"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 xml:space="preserve">Disabled vehicle is hooked up and checked to ensure conformity </w:t>
            </w:r>
            <w:r w:rsidRPr="00C649F9">
              <w:t>with regulatory requirements</w:t>
            </w:r>
          </w:p>
        </w:tc>
      </w:tr>
      <w:tr w:rsidTr="000E3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5.2</w:t>
            </w:r>
          </w:p>
        </w:tc>
        <w:tc>
          <w:tcPr>
            <w:tcW w:w="6045"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Heavy towing permit conditions are applied to plan a route that ensures most efficient, safe, secure and legal transport operation</w:t>
            </w:r>
          </w:p>
        </w:tc>
      </w:tr>
      <w:tr w:rsidTr="000E3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5.3</w:t>
            </w:r>
          </w:p>
        </w:tc>
        <w:tc>
          <w:tcPr>
            <w:tcW w:w="6045"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Driving techniques appropriate to heavy towing and driver legal responsibility for damage and loss to towed vehicles, fitted equipment, and personal possessions are applied</w:t>
            </w:r>
          </w:p>
        </w:tc>
      </w:tr>
      <w:tr w:rsidTr="000E3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5.4</w:t>
            </w:r>
          </w:p>
        </w:tc>
        <w:tc>
          <w:tcPr>
            <w:tcW w:w="6045"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 xml:space="preserve">Recovery vehicle is driven within heavy towing special speed limits </w:t>
            </w:r>
          </w:p>
        </w:tc>
      </w:tr>
      <w:tr w:rsidTr="000E3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5.5</w:t>
            </w:r>
          </w:p>
        </w:tc>
        <w:tc>
          <w:tcPr>
            <w:tcW w:w="6045"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Situational awareness is maintained for potential problems with disabled vehicle</w:t>
            </w:r>
          </w:p>
        </w:tc>
      </w:tr>
      <w:tr w:rsidTr="000E3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5.6</w:t>
            </w:r>
          </w:p>
        </w:tc>
        <w:tc>
          <w:tcPr>
            <w:tcW w:w="6045"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Disabled vehicle is safely manoeuvred into position and unhooked in accordance with organisational and customer requirements</w:t>
            </w:r>
          </w:p>
        </w:tc>
      </w:tr>
      <w:tr w:rsidTr="000E3C9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649F9" w:rsidP="00C649F9">
            <w:pPr>
              <w:pStyle w:val="BodyText"/>
            </w:pPr>
            <w:r w:rsidRPr="00C649F9">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rPr>
                <w:rStyle w:val="SpecialBold"/>
              </w:rPr>
              <w:t>Conclude recovery operations</w:t>
            </w:r>
          </w:p>
        </w:tc>
        <w:tc>
          <w:tcPr>
            <w:tcW w:w="719"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6.1</w:t>
            </w:r>
          </w:p>
        </w:tc>
        <w:tc>
          <w:tcPr>
            <w:tcW w:w="6045"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Heavy v</w:t>
            </w:r>
            <w:r w:rsidRPr="00C649F9">
              <w:t>ehicle recovery documentation is completed in accordance with regulatory and workplace requirements</w:t>
            </w:r>
          </w:p>
        </w:tc>
      </w:tr>
      <w:tr w:rsidTr="000E3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49F9">
            <w:pPr>
              <w:pStyle w:val="BodyText"/>
              <w:rPr>
                <w:lang w:val="en-NZ"/>
              </w:rPr>
            </w:pPr>
            <w:r w:rsidRPr="00C649F9">
              <w:t>6.2</w:t>
            </w:r>
          </w:p>
        </w:tc>
        <w:tc>
          <w:tcPr>
            <w:tcW w:w="6045" w:type="dxa"/>
            <w:tcBorders>
              <w:top w:val="nil"/>
              <w:left w:val="nil"/>
              <w:bottom w:val="nil"/>
              <w:right w:val="nil"/>
            </w:tcBorders>
            <w:tcMar>
              <w:top w:w="0" w:type="dxa"/>
              <w:left w:w="62" w:type="dxa"/>
              <w:bottom w:w="0" w:type="dxa"/>
              <w:right w:w="62" w:type="dxa"/>
            </w:tcMar>
          </w:tcPr>
          <w:p w:rsidR="00000000" w:rsidRPr="00C649F9" w:rsidP="00C649F9">
            <w:pPr>
              <w:pStyle w:val="BodyText"/>
            </w:pPr>
            <w:r w:rsidRPr="00C649F9">
              <w:t xml:space="preserve">Recovery vehicle and equipment are cleaned and serviced in accordance with organisational procedures and manufacturer guidelines, prior to </w:t>
            </w:r>
            <w:r w:rsidRPr="00C649F9">
              <w:t>standing down from operation</w:t>
            </w:r>
          </w:p>
        </w:tc>
      </w:tr>
    </w:tbl>
    <w:p w:rsidR="000E3C9B" w:rsidP="00C649F9">
      <w:pPr>
        <w:pStyle w:val="BodyText"/>
      </w:pPr>
    </w:p>
    <w:p w:rsidR="000E3C9B" w:rsidP="00C649F9">
      <w:pPr>
        <w:pStyle w:val="BodyText"/>
      </w:pPr>
    </w:p>
    <w:p w:rsidR="00000000" w:rsidRPr="00C649F9" w:rsidP="00C649F9">
      <w:pPr>
        <w:pStyle w:val="Heading1"/>
      </w:pPr>
      <w:bookmarkStart w:id="7" w:name="O_842302"/>
      <w:bookmarkEnd w:id="7"/>
      <w:r w:rsidRPr="00C649F9">
        <w:t>Foundation Skills</w:t>
      </w:r>
    </w:p>
    <w:p w:rsidR="000E3C9B" w:rsidP="000E3C9B">
      <w:pPr>
        <w:pStyle w:val="BodyText"/>
      </w:pPr>
      <w:r w:rsidRPr="00C649F9">
        <w:t>Foundation skills essential to performance are explicit in the performance criteria of this unit of competency.</w:t>
      </w:r>
    </w:p>
    <w:p w:rsidR="00000000" w:rsidRPr="00C649F9" w:rsidP="00C649F9">
      <w:pPr>
        <w:pStyle w:val="Heading1"/>
      </w:pPr>
      <w:bookmarkStart w:id="8" w:name="O_842303"/>
      <w:bookmarkEnd w:id="8"/>
      <w:r w:rsidRPr="00C649F9">
        <w:t>Range of Conditions</w:t>
      </w:r>
    </w:p>
    <w:p w:rsidR="00000000" w:rsidRPr="00C649F9" w:rsidP="000E3C9B">
      <w:pPr>
        <w:pStyle w:val="BodyText"/>
      </w:pPr>
      <w:r w:rsidRPr="00C649F9">
        <w:t>Range is restricted to essential operat</w:t>
      </w:r>
      <w:r w:rsidRPr="00C649F9">
        <w:t>ing conditions and any other variables essential to the work environment.</w:t>
      </w:r>
    </w:p>
    <w:p w:rsidR="000E3C9B" w:rsidP="000E3C9B">
      <w:pPr>
        <w:pStyle w:val="BodyText"/>
      </w:pPr>
      <w:r w:rsidRPr="00C649F9">
        <w:t>Non-essential conditions can be found in the Companion Volume Implementation Guide.</w:t>
      </w:r>
    </w:p>
    <w:p w:rsidR="00000000" w:rsidRPr="00C649F9" w:rsidP="00C649F9">
      <w:pPr>
        <w:pStyle w:val="Heading1"/>
      </w:pPr>
      <w:bookmarkStart w:id="9" w:name="O_842304"/>
      <w:bookmarkEnd w:id="9"/>
      <w:r w:rsidRPr="00C649F9">
        <w:t>Unit Mapping Information</w:t>
      </w:r>
    </w:p>
    <w:p w:rsidR="000E3C9B" w:rsidP="000E3C9B">
      <w:pPr>
        <w:pStyle w:val="BodyText"/>
      </w:pPr>
      <w:r w:rsidRPr="00C649F9">
        <w:t>This unit replaces and is equivalent to TLIC4069A Operate heavy recovery vehicle.</w:t>
      </w:r>
    </w:p>
    <w:p w:rsidR="00000000" w:rsidRPr="00C649F9" w:rsidP="00C649F9">
      <w:pPr>
        <w:pStyle w:val="Heading1"/>
      </w:pPr>
      <w:bookmarkStart w:id="10" w:name="O_842311"/>
      <w:bookmarkEnd w:id="10"/>
      <w:r w:rsidRPr="00C649F9">
        <w:t>Links</w:t>
      </w:r>
    </w:p>
    <w:p w:rsidR="00000000" w:rsidRPr="00C649F9" w:rsidP="000E3C9B">
      <w:pPr>
        <w:pStyle w:val="BodyText"/>
      </w:pPr>
      <w:r w:rsidRPr="00C649F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742A1">
        <w:rPr>
          <w:rStyle w:val="Hyperlink"/>
        </w:rPr>
        <w:t>https://vetnet.gov.au/Pages/TrainingDocs.aspx?q=df441c6e-213d-43e3-874c-0b3f7036d851</w:t>
      </w:r>
      <w:r>
        <w:fldChar w:fldCharType="end"/>
      </w:r>
    </w:p>
    <w:p w:rsidR="00000000" w:rsidRPr="00C649F9" w:rsidP="00C649F9"/>
    <w:sectPr w:rsidSect="00C649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9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9F9" w:rsidRPr="000E3C9B" w:rsidP="000E3C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9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C9B" w:rsidP="00C649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3C9B" w:rsidP="00C649F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E3C9B" w:rsidP="00C649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9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C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49F9" w:rsidRPr="000E3C9B" w:rsidP="000E3C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9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C9B" w:rsidRPr="002D2AF8" w:rsidP="00C649F9">
    <w:pPr>
      <w:pStyle w:val="Header"/>
      <w:framePr w:wrap="around"/>
    </w:pPr>
    <w:r>
      <w:fldChar w:fldCharType="begin"/>
    </w:r>
    <w:r>
      <w:instrText xml:space="preserve"> TITLE   \* MERGEFORMAT </w:instrText>
    </w:r>
    <w:r>
      <w:fldChar w:fldCharType="separate"/>
    </w:r>
    <w:r>
      <w:t>TLIC4069 Operate heavy recovery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0E3C9B" w:rsidP="00C649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9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49F9"/>
    <w:pPr>
      <w:spacing w:before="360" w:after="60"/>
      <w:outlineLvl w:val="0"/>
    </w:pPr>
    <w:rPr>
      <w:sz w:val="32"/>
    </w:rPr>
  </w:style>
  <w:style w:type="paragraph" w:styleId="Heading2">
    <w:name w:val="heading 2"/>
    <w:basedOn w:val="HeadingBase"/>
    <w:next w:val="BodyText"/>
    <w:link w:val="Heading2Char"/>
    <w:qFormat/>
    <w:rsid w:val="00C649F9"/>
    <w:pPr>
      <w:keepLines/>
      <w:spacing w:before="240" w:after="120"/>
      <w:outlineLvl w:val="1"/>
    </w:pPr>
    <w:rPr>
      <w:sz w:val="28"/>
      <w:szCs w:val="40"/>
    </w:rPr>
  </w:style>
  <w:style w:type="paragraph" w:styleId="Heading3">
    <w:name w:val="heading 3"/>
    <w:basedOn w:val="HeadingBase"/>
    <w:next w:val="BodyText"/>
    <w:link w:val="Heading3Char"/>
    <w:qFormat/>
    <w:rsid w:val="00C649F9"/>
    <w:pPr>
      <w:spacing w:before="180" w:after="120"/>
      <w:outlineLvl w:val="2"/>
    </w:pPr>
    <w:rPr>
      <w:spacing w:val="-10"/>
      <w:kern w:val="32"/>
    </w:rPr>
  </w:style>
  <w:style w:type="paragraph" w:styleId="Heading4">
    <w:name w:val="heading 4"/>
    <w:basedOn w:val="HeadingBase"/>
    <w:next w:val="BodyText"/>
    <w:link w:val="Heading4Char"/>
    <w:qFormat/>
    <w:rsid w:val="00C649F9"/>
    <w:pPr>
      <w:spacing w:before="160" w:after="120"/>
      <w:outlineLvl w:val="3"/>
    </w:pPr>
    <w:rPr>
      <w:sz w:val="22"/>
    </w:rPr>
  </w:style>
  <w:style w:type="paragraph" w:styleId="Heading5">
    <w:name w:val="heading 5"/>
    <w:basedOn w:val="HeadingBase"/>
    <w:next w:val="Normal"/>
    <w:link w:val="Heading5Char"/>
    <w:qFormat/>
    <w:rsid w:val="00C649F9"/>
    <w:pPr>
      <w:spacing w:before="80"/>
      <w:outlineLvl w:val="4"/>
    </w:pPr>
    <w:rPr>
      <w:color w:val="918585"/>
      <w:sz w:val="20"/>
    </w:rPr>
  </w:style>
  <w:style w:type="paragraph" w:styleId="Heading6">
    <w:name w:val="heading 6"/>
    <w:basedOn w:val="HeadingBase"/>
    <w:next w:val="Normal"/>
    <w:link w:val="Heading6Char"/>
    <w:qFormat/>
    <w:rsid w:val="00C649F9"/>
    <w:pPr>
      <w:spacing w:before="60"/>
      <w:outlineLvl w:val="5"/>
    </w:pPr>
    <w:rPr>
      <w:color w:val="918585"/>
      <w:sz w:val="20"/>
    </w:rPr>
  </w:style>
  <w:style w:type="paragraph" w:styleId="Heading7">
    <w:name w:val="heading 7"/>
    <w:basedOn w:val="Normal"/>
    <w:next w:val="Normal"/>
    <w:link w:val="Heading7Char"/>
    <w:qFormat/>
    <w:rsid w:val="00C649F9"/>
    <w:pPr>
      <w:ind w:left="720"/>
      <w:outlineLvl w:val="6"/>
    </w:pPr>
    <w:rPr>
      <w:i/>
    </w:rPr>
  </w:style>
  <w:style w:type="paragraph" w:styleId="Heading8">
    <w:name w:val="heading 8"/>
    <w:basedOn w:val="Normal"/>
    <w:next w:val="Normal"/>
    <w:link w:val="Heading8Char"/>
    <w:qFormat/>
    <w:rsid w:val="00C649F9"/>
    <w:pPr>
      <w:ind w:left="720"/>
      <w:outlineLvl w:val="7"/>
    </w:pPr>
    <w:rPr>
      <w:i/>
    </w:rPr>
  </w:style>
  <w:style w:type="paragraph" w:styleId="Heading9">
    <w:name w:val="heading 9"/>
    <w:basedOn w:val="Normal"/>
    <w:next w:val="Normal"/>
    <w:link w:val="Heading9Char"/>
    <w:qFormat/>
    <w:rsid w:val="00C649F9"/>
    <w:pPr>
      <w:ind w:left="720"/>
      <w:outlineLvl w:val="8"/>
    </w:pPr>
    <w:rPr>
      <w:i/>
    </w:rPr>
  </w:style>
  <w:style w:type="character" w:default="1" w:styleId="DefaultParagraphFont">
    <w:name w:val="Default Paragraph Font"/>
    <w:uiPriority w:val="1"/>
    <w:unhideWhenUsed/>
    <w:rsid w:val="00C649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49F9"/>
  </w:style>
  <w:style w:type="character" w:customStyle="1" w:styleId="Heading1Char">
    <w:name w:val="Heading 1 Char"/>
    <w:basedOn w:val="DefaultParagraphFont"/>
    <w:link w:val="Heading1"/>
    <w:rsid w:val="00C649F9"/>
    <w:rPr>
      <w:rFonts w:ascii="Times New Roman" w:eastAsia="Times New Roman" w:hAnsi="Times New Roman" w:cs="Times New Roman"/>
      <w:b/>
      <w:sz w:val="32"/>
      <w:szCs w:val="20"/>
      <w:lang w:eastAsia="en-US"/>
    </w:rPr>
  </w:style>
  <w:style w:type="paragraph" w:styleId="BodyText">
    <w:name w:val="Body Text"/>
    <w:basedOn w:val="Normal"/>
    <w:link w:val="BodyTextChar"/>
    <w:rsid w:val="00C649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49F9"/>
    <w:rPr>
      <w:rFonts w:ascii="Times New Roman" w:eastAsia="Times New Roman" w:hAnsi="Times New Roman" w:cs="Times New Roman"/>
      <w:sz w:val="24"/>
      <w:lang w:eastAsia="en-US"/>
    </w:rPr>
  </w:style>
  <w:style w:type="character" w:customStyle="1" w:styleId="SpecialBold">
    <w:name w:val="Special Bold"/>
    <w:basedOn w:val="DefaultParagraphFont"/>
    <w:rsid w:val="00C649F9"/>
    <w:rPr>
      <w:b/>
      <w:spacing w:val="0"/>
    </w:rPr>
  </w:style>
  <w:style w:type="paragraph" w:customStyle="1" w:styleId="SuperHeading">
    <w:name w:val="SuperHeading"/>
    <w:basedOn w:val="Normal"/>
    <w:rsid w:val="00C649F9"/>
    <w:pPr>
      <w:spacing w:before="240" w:after="120"/>
      <w:outlineLvl w:val="0"/>
    </w:pPr>
    <w:rPr>
      <w:rFonts w:ascii="Times New Roman" w:hAnsi="Times New Roman"/>
      <w:b/>
      <w:sz w:val="32"/>
    </w:rPr>
  </w:style>
  <w:style w:type="paragraph" w:customStyle="1" w:styleId="AllowPageBreak">
    <w:name w:val="AllowPageBreak"/>
    <w:rsid w:val="00C649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49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49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49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49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49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49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49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49F9"/>
    <w:rPr>
      <w:rFonts w:ascii="Courier New" w:eastAsia="Times New Roman" w:hAnsi="Courier New" w:cs="Times New Roman"/>
      <w:i/>
      <w:szCs w:val="20"/>
      <w:lang w:eastAsia="en-US"/>
    </w:rPr>
  </w:style>
  <w:style w:type="paragraph" w:customStyle="1" w:styleId="HeadingBase">
    <w:name w:val="Heading Base"/>
    <w:rsid w:val="00C649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49F9"/>
    <w:pPr>
      <w:tabs>
        <w:tab w:val="right" w:leader="dot" w:pos="9072"/>
      </w:tabs>
      <w:ind w:left="567"/>
    </w:pPr>
    <w:rPr>
      <w:szCs w:val="22"/>
    </w:rPr>
  </w:style>
  <w:style w:type="paragraph" w:customStyle="1" w:styleId="TOCBase">
    <w:name w:val="TOC Base"/>
    <w:rsid w:val="00C649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49F9"/>
    <w:pPr>
      <w:tabs>
        <w:tab w:val="right" w:leader="dot" w:pos="9072"/>
      </w:tabs>
      <w:spacing w:before="40" w:after="40"/>
      <w:ind w:left="284"/>
    </w:pPr>
    <w:rPr>
      <w:rFonts w:ascii="Times New Roman" w:hAnsi="Times New Roman"/>
    </w:rPr>
  </w:style>
  <w:style w:type="paragraph" w:styleId="TOC1">
    <w:name w:val="toc 1"/>
    <w:basedOn w:val="TOCBase"/>
    <w:next w:val="Normal"/>
    <w:rsid w:val="00C649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49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49F9"/>
    <w:rPr>
      <w:rFonts w:ascii="Times New Roman" w:eastAsia="Times New Roman" w:hAnsi="Times New Roman" w:cs="Times New Roman"/>
      <w:sz w:val="16"/>
      <w:lang w:eastAsia="en-US"/>
    </w:rPr>
  </w:style>
  <w:style w:type="paragraph" w:styleId="Title">
    <w:name w:val="Title"/>
    <w:basedOn w:val="HeadingBase"/>
    <w:link w:val="TitleChar"/>
    <w:qFormat/>
    <w:rsid w:val="00C649F9"/>
    <w:pPr>
      <w:spacing w:before="5040"/>
      <w:jc w:val="center"/>
    </w:pPr>
    <w:rPr>
      <w:sz w:val="48"/>
      <w:szCs w:val="72"/>
      <w:lang w:val="en-US"/>
    </w:rPr>
  </w:style>
  <w:style w:type="character" w:customStyle="1" w:styleId="TitleChar">
    <w:name w:val="Title Char"/>
    <w:basedOn w:val="DefaultParagraphFont"/>
    <w:link w:val="Title"/>
    <w:rsid w:val="00C649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49F9"/>
    <w:pPr>
      <w:tabs>
        <w:tab w:val="left" w:pos="3600"/>
        <w:tab w:val="left" w:pos="3958"/>
      </w:tabs>
    </w:pPr>
  </w:style>
  <w:style w:type="paragraph" w:styleId="List">
    <w:name w:val="List"/>
    <w:basedOn w:val="BodyText"/>
    <w:next w:val="BodyText"/>
    <w:rsid w:val="00C649F9"/>
    <w:pPr>
      <w:tabs>
        <w:tab w:val="left" w:pos="340"/>
      </w:tabs>
      <w:spacing w:before="60" w:after="60"/>
      <w:ind w:left="340" w:hanging="340"/>
    </w:pPr>
  </w:style>
  <w:style w:type="paragraph" w:styleId="ListBullet">
    <w:name w:val="List Bullet"/>
    <w:basedOn w:val="List"/>
    <w:rsid w:val="00C649F9"/>
    <w:pPr>
      <w:numPr>
        <w:numId w:val="10"/>
      </w:numPr>
      <w:tabs>
        <w:tab w:val="clear" w:pos="340"/>
      </w:tabs>
      <w:spacing w:before="40" w:after="40"/>
    </w:pPr>
  </w:style>
  <w:style w:type="paragraph" w:customStyle="1" w:styleId="Note">
    <w:name w:val="Note"/>
    <w:basedOn w:val="BodyText"/>
    <w:rsid w:val="00C649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49F9"/>
    <w:pPr>
      <w:framePr w:wrap="auto" w:hAnchor="text" w:y="6049"/>
    </w:pPr>
    <w:rPr>
      <w:color w:val="000000"/>
      <w:sz w:val="40"/>
    </w:rPr>
  </w:style>
  <w:style w:type="paragraph" w:customStyle="1" w:styleId="TOCTitle">
    <w:name w:val="TOCTitle"/>
    <w:basedOn w:val="Heading1"/>
    <w:rsid w:val="00C649F9"/>
    <w:pPr>
      <w:spacing w:after="240"/>
      <w:jc w:val="center"/>
      <w:outlineLvl w:val="9"/>
    </w:pPr>
    <w:rPr>
      <w:caps/>
    </w:rPr>
  </w:style>
  <w:style w:type="paragraph" w:customStyle="1" w:styleId="Version">
    <w:name w:val="Version"/>
    <w:rsid w:val="00C649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49F9"/>
    <w:pPr>
      <w:numPr>
        <w:numId w:val="11"/>
      </w:numPr>
      <w:tabs>
        <w:tab w:val="clear" w:pos="680"/>
      </w:tabs>
    </w:pPr>
  </w:style>
  <w:style w:type="paragraph" w:styleId="Index1">
    <w:name w:val="index 1"/>
    <w:basedOn w:val="Normal"/>
    <w:next w:val="Normal"/>
    <w:semiHidden/>
    <w:rsid w:val="00C649F9"/>
    <w:pPr>
      <w:keepNext w:val="0"/>
      <w:tabs>
        <w:tab w:val="right" w:pos="4176"/>
      </w:tabs>
      <w:ind w:left="198" w:hanging="198"/>
    </w:pPr>
    <w:rPr>
      <w:rFonts w:ascii="Garamond" w:hAnsi="Garamond"/>
    </w:rPr>
  </w:style>
  <w:style w:type="paragraph" w:styleId="IndexHeading">
    <w:name w:val="index heading"/>
    <w:basedOn w:val="Normal"/>
    <w:next w:val="Index1"/>
    <w:semiHidden/>
    <w:rsid w:val="00C649F9"/>
    <w:pPr>
      <w:spacing w:before="120" w:after="120"/>
    </w:pPr>
    <w:rPr>
      <w:rFonts w:ascii="Arial" w:hAnsi="Arial"/>
      <w:b/>
      <w:color w:val="918585"/>
      <w:sz w:val="24"/>
    </w:rPr>
  </w:style>
  <w:style w:type="paragraph" w:styleId="Header">
    <w:name w:val="header"/>
    <w:basedOn w:val="Normal"/>
    <w:link w:val="HeaderChar"/>
    <w:rsid w:val="00C649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49F9"/>
    <w:rPr>
      <w:rFonts w:ascii="Times New Roman" w:eastAsia="Times New Roman" w:hAnsi="Times New Roman" w:cs="Times New Roman"/>
      <w:sz w:val="16"/>
      <w:szCs w:val="20"/>
      <w:lang w:val="en-GB" w:eastAsia="en-US"/>
    </w:rPr>
  </w:style>
  <w:style w:type="paragraph" w:customStyle="1" w:styleId="Chapter">
    <w:name w:val="Chapter"/>
    <w:basedOn w:val="Normal"/>
    <w:rsid w:val="00C649F9"/>
    <w:pPr>
      <w:spacing w:before="240"/>
    </w:pPr>
    <w:rPr>
      <w:rFonts w:ascii="Times New Roman" w:hAnsi="Times New Roman"/>
      <w:smallCaps/>
      <w:spacing w:val="80"/>
      <w:sz w:val="28"/>
    </w:rPr>
  </w:style>
  <w:style w:type="paragraph" w:customStyle="1" w:styleId="InChapter">
    <w:name w:val="InChapter"/>
    <w:basedOn w:val="Heading3"/>
    <w:rsid w:val="00C649F9"/>
    <w:pPr>
      <w:spacing w:after="240"/>
      <w:outlineLvl w:val="9"/>
    </w:pPr>
    <w:rPr>
      <w:noProof/>
    </w:rPr>
  </w:style>
  <w:style w:type="paragraph" w:styleId="Index2">
    <w:name w:val="index 2"/>
    <w:basedOn w:val="Normal"/>
    <w:next w:val="Normal"/>
    <w:semiHidden/>
    <w:rsid w:val="00C649F9"/>
    <w:pPr>
      <w:tabs>
        <w:tab w:val="right" w:pos="4176"/>
      </w:tabs>
      <w:ind w:left="568" w:hanging="284"/>
    </w:pPr>
    <w:rPr>
      <w:rFonts w:ascii="Garamond" w:hAnsi="Garamond"/>
    </w:rPr>
  </w:style>
  <w:style w:type="paragraph" w:customStyle="1" w:styleId="Byline">
    <w:name w:val="Byline"/>
    <w:rsid w:val="00C649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49F9"/>
    <w:pPr>
      <w:tabs>
        <w:tab w:val="clear" w:pos="3600"/>
        <w:tab w:val="clear" w:pos="3958"/>
      </w:tabs>
      <w:jc w:val="right"/>
    </w:pPr>
  </w:style>
  <w:style w:type="character" w:styleId="Emphasis">
    <w:name w:val="Emphasis"/>
    <w:basedOn w:val="DefaultParagraphFont"/>
    <w:qFormat/>
    <w:rsid w:val="00C649F9"/>
    <w:rPr>
      <w:i/>
    </w:rPr>
  </w:style>
  <w:style w:type="paragraph" w:styleId="Caption">
    <w:name w:val="caption"/>
    <w:basedOn w:val="BodyText"/>
    <w:next w:val="Normal"/>
    <w:qFormat/>
    <w:rsid w:val="00C649F9"/>
    <w:pPr>
      <w:framePr w:w="2268" w:hSpace="181" w:vSpace="181" w:wrap="around" w:vAnchor="text" w:hAnchor="page" w:x="1135" w:y="285" w:anchorLock="1"/>
    </w:pPr>
    <w:rPr>
      <w:i/>
    </w:rPr>
  </w:style>
  <w:style w:type="paragraph" w:customStyle="1" w:styleId="MiniTOCTitle">
    <w:name w:val="MiniTOCTitle"/>
    <w:basedOn w:val="Heading4"/>
    <w:rsid w:val="00C649F9"/>
    <w:pPr>
      <w:spacing w:before="240"/>
      <w:outlineLvl w:val="9"/>
    </w:pPr>
    <w:rPr>
      <w:noProof/>
      <w:sz w:val="24"/>
    </w:rPr>
  </w:style>
  <w:style w:type="paragraph" w:customStyle="1" w:styleId="MiniTOCItem">
    <w:name w:val="MiniTOCItem"/>
    <w:basedOn w:val="ListBullet"/>
    <w:rsid w:val="00C649F9"/>
    <w:pPr>
      <w:numPr>
        <w:numId w:val="0"/>
      </w:numPr>
      <w:tabs>
        <w:tab w:val="right" w:leader="dot" w:pos="6521"/>
      </w:tabs>
      <w:spacing w:before="0" w:after="0"/>
    </w:pPr>
  </w:style>
  <w:style w:type="paragraph" w:customStyle="1" w:styleId="TOFTitle">
    <w:name w:val="TOFTitle"/>
    <w:basedOn w:val="TOCTitle"/>
    <w:rsid w:val="00C649F9"/>
  </w:style>
  <w:style w:type="paragraph" w:styleId="TableofFigures">
    <w:name w:val="table of figures"/>
    <w:basedOn w:val="Normal"/>
    <w:next w:val="Normal"/>
    <w:semiHidden/>
    <w:rsid w:val="00C649F9"/>
    <w:pPr>
      <w:tabs>
        <w:tab w:val="right" w:leader="dot" w:pos="9072"/>
      </w:tabs>
      <w:ind w:left="970" w:hanging="403"/>
    </w:pPr>
    <w:rPr>
      <w:rFonts w:ascii="Times New Roman" w:hAnsi="Times New Roman"/>
      <w:b/>
    </w:rPr>
  </w:style>
  <w:style w:type="paragraph" w:styleId="ListNumber">
    <w:name w:val="List Number"/>
    <w:basedOn w:val="List"/>
    <w:rsid w:val="00C649F9"/>
    <w:pPr>
      <w:numPr>
        <w:numId w:val="13"/>
      </w:numPr>
      <w:tabs>
        <w:tab w:val="clear" w:pos="340"/>
      </w:tabs>
    </w:pPr>
  </w:style>
  <w:style w:type="character" w:customStyle="1" w:styleId="WingdingSymbols">
    <w:name w:val="Wingding Symbols"/>
    <w:rsid w:val="00C649F9"/>
    <w:rPr>
      <w:rFonts w:ascii="Wingdings" w:hAnsi="Wingdings"/>
    </w:rPr>
  </w:style>
  <w:style w:type="paragraph" w:customStyle="1" w:styleId="TableHeading">
    <w:name w:val="Table Heading"/>
    <w:basedOn w:val="HeadingBase"/>
    <w:rsid w:val="00C649F9"/>
    <w:pPr>
      <w:keepLines/>
      <w:pBdr>
        <w:bottom w:val="single" w:sz="6" w:space="1" w:color="918585"/>
      </w:pBdr>
      <w:spacing w:before="240"/>
    </w:pPr>
  </w:style>
  <w:style w:type="character" w:customStyle="1" w:styleId="HotSpot">
    <w:name w:val="HotSpot"/>
    <w:rsid w:val="00C649F9"/>
    <w:rPr>
      <w:color w:val="0033CC"/>
      <w:u w:val="none"/>
    </w:rPr>
  </w:style>
  <w:style w:type="paragraph" w:customStyle="1" w:styleId="BodyTextRight">
    <w:name w:val="Body Text Right"/>
    <w:basedOn w:val="BodyText"/>
    <w:rsid w:val="00C649F9"/>
    <w:pPr>
      <w:spacing w:before="0" w:after="0"/>
      <w:jc w:val="right"/>
    </w:pPr>
  </w:style>
  <w:style w:type="paragraph" w:styleId="Index3">
    <w:name w:val="index 3"/>
    <w:basedOn w:val="ListNumber2"/>
    <w:next w:val="Normal"/>
    <w:semiHidden/>
    <w:rsid w:val="00C649F9"/>
    <w:pPr>
      <w:numPr>
        <w:numId w:val="0"/>
      </w:numPr>
      <w:tabs>
        <w:tab w:val="right" w:leader="dot" w:pos="4176"/>
      </w:tabs>
    </w:pPr>
  </w:style>
  <w:style w:type="paragraph" w:styleId="ListNumber2">
    <w:name w:val="List Number 2"/>
    <w:basedOn w:val="List2"/>
    <w:rsid w:val="00C649F9"/>
    <w:pPr>
      <w:numPr>
        <w:numId w:val="8"/>
      </w:numPr>
      <w:tabs>
        <w:tab w:val="clear" w:pos="1060"/>
      </w:tabs>
    </w:pPr>
  </w:style>
  <w:style w:type="paragraph" w:customStyle="1" w:styleId="MarginNote">
    <w:name w:val="Margin Note"/>
    <w:basedOn w:val="BodyText"/>
    <w:rsid w:val="00C649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49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49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49F9"/>
    <w:rPr>
      <w:sz w:val="32"/>
    </w:rPr>
  </w:style>
  <w:style w:type="paragraph" w:customStyle="1" w:styleId="HeadingProcedure">
    <w:name w:val="Heading Procedure"/>
    <w:basedOn w:val="HeadingBase"/>
    <w:next w:val="Normal"/>
    <w:rsid w:val="00C649F9"/>
    <w:pPr>
      <w:tabs>
        <w:tab w:val="left" w:pos="0"/>
      </w:tabs>
      <w:spacing w:before="120" w:after="60"/>
    </w:pPr>
    <w:rPr>
      <w:i/>
      <w:color w:val="918585"/>
      <w:sz w:val="22"/>
    </w:rPr>
  </w:style>
  <w:style w:type="paragraph" w:customStyle="1" w:styleId="TableBodyText">
    <w:name w:val="Table Body Text"/>
    <w:basedOn w:val="BodyText"/>
    <w:rsid w:val="00C649F9"/>
    <w:pPr>
      <w:spacing w:before="60" w:after="60"/>
    </w:pPr>
  </w:style>
  <w:style w:type="paragraph" w:styleId="ListContinue">
    <w:name w:val="List Continue"/>
    <w:basedOn w:val="List"/>
    <w:rsid w:val="00C649F9"/>
    <w:pPr>
      <w:ind w:firstLine="0"/>
    </w:pPr>
  </w:style>
  <w:style w:type="paragraph" w:customStyle="1" w:styleId="ListNote">
    <w:name w:val="List Note"/>
    <w:basedOn w:val="List"/>
    <w:rsid w:val="00C649F9"/>
    <w:pPr>
      <w:pBdr>
        <w:top w:val="single" w:sz="6" w:space="2" w:color="918585"/>
        <w:bottom w:val="single" w:sz="6" w:space="2" w:color="918585"/>
      </w:pBdr>
      <w:tabs>
        <w:tab w:val="left" w:pos="1021"/>
      </w:tabs>
      <w:ind w:firstLine="0"/>
    </w:pPr>
  </w:style>
  <w:style w:type="paragraph" w:customStyle="1" w:styleId="Warning">
    <w:name w:val="Warning"/>
    <w:basedOn w:val="BodyText"/>
    <w:rsid w:val="00C649F9"/>
    <w:pPr>
      <w:shd w:val="clear" w:color="auto" w:fill="D9D9D9"/>
      <w:tabs>
        <w:tab w:val="left" w:pos="992"/>
      </w:tabs>
      <w:ind w:left="119" w:right="119"/>
    </w:pPr>
    <w:rPr>
      <w:sz w:val="20"/>
    </w:rPr>
  </w:style>
  <w:style w:type="paragraph" w:customStyle="1" w:styleId="MarginIcons">
    <w:name w:val="Margin Icons"/>
    <w:basedOn w:val="BodyText"/>
    <w:rsid w:val="00C649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49F9"/>
    <w:rPr>
      <w:rFonts w:ascii="Courier New" w:hAnsi="Courier New"/>
    </w:rPr>
  </w:style>
  <w:style w:type="paragraph" w:customStyle="1" w:styleId="NoteBullet">
    <w:name w:val="Note Bullet"/>
    <w:basedOn w:val="Note"/>
    <w:rsid w:val="00C649F9"/>
    <w:pPr>
      <w:tabs>
        <w:tab w:val="clear" w:pos="680"/>
      </w:tabs>
      <w:spacing w:before="60" w:after="60"/>
    </w:pPr>
  </w:style>
  <w:style w:type="paragraph" w:customStyle="1" w:styleId="SubHeading2">
    <w:name w:val="SubHeading2"/>
    <w:basedOn w:val="HeadingBase"/>
    <w:rsid w:val="00C649F9"/>
    <w:pPr>
      <w:spacing w:before="240" w:after="60"/>
    </w:pPr>
    <w:rPr>
      <w:sz w:val="20"/>
    </w:rPr>
  </w:style>
  <w:style w:type="paragraph" w:customStyle="1" w:styleId="SubHeading1">
    <w:name w:val="SubHeading1"/>
    <w:basedOn w:val="HeadingBase"/>
    <w:rsid w:val="00C649F9"/>
    <w:pPr>
      <w:spacing w:before="240" w:after="60"/>
    </w:pPr>
    <w:rPr>
      <w:color w:val="918585"/>
      <w:sz w:val="22"/>
    </w:rPr>
  </w:style>
  <w:style w:type="paragraph" w:customStyle="1" w:styleId="SideHeading">
    <w:name w:val="Side Heading"/>
    <w:basedOn w:val="HeadingBase"/>
    <w:rsid w:val="00C649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49F9"/>
    <w:pPr>
      <w:numPr>
        <w:numId w:val="9"/>
      </w:numPr>
    </w:pPr>
  </w:style>
  <w:style w:type="paragraph" w:styleId="PlainText">
    <w:name w:val="Plain Text"/>
    <w:basedOn w:val="Normal"/>
    <w:link w:val="PlainTextChar"/>
    <w:rsid w:val="00C649F9"/>
    <w:rPr>
      <w:sz w:val="20"/>
    </w:rPr>
  </w:style>
  <w:style w:type="character" w:customStyle="1" w:styleId="PlainTextChar">
    <w:name w:val="Plain Text Char"/>
    <w:basedOn w:val="DefaultParagraphFont"/>
    <w:link w:val="PlainText"/>
    <w:rsid w:val="00C649F9"/>
    <w:rPr>
      <w:rFonts w:ascii="Courier New" w:eastAsia="Times New Roman" w:hAnsi="Courier New" w:cs="Times New Roman"/>
      <w:sz w:val="20"/>
      <w:szCs w:val="20"/>
      <w:lang w:eastAsia="en-US"/>
    </w:rPr>
  </w:style>
  <w:style w:type="character" w:customStyle="1" w:styleId="MenuOption">
    <w:name w:val="Menu Option"/>
    <w:basedOn w:val="DefaultParagraphFont"/>
    <w:rsid w:val="00C649F9"/>
    <w:rPr>
      <w:b/>
      <w:smallCaps/>
    </w:rPr>
  </w:style>
  <w:style w:type="paragraph" w:customStyle="1" w:styleId="TableListNumber">
    <w:name w:val="Table List Number"/>
    <w:basedOn w:val="ListNumber"/>
    <w:rsid w:val="00C649F9"/>
    <w:pPr>
      <w:numPr>
        <w:numId w:val="0"/>
      </w:numPr>
    </w:pPr>
  </w:style>
  <w:style w:type="paragraph" w:styleId="TOC4">
    <w:name w:val="toc 4"/>
    <w:basedOn w:val="TOCBase"/>
    <w:next w:val="Normal"/>
    <w:semiHidden/>
    <w:rsid w:val="00C649F9"/>
    <w:pPr>
      <w:tabs>
        <w:tab w:val="right" w:leader="dot" w:pos="9071"/>
      </w:tabs>
      <w:ind w:left="1701"/>
    </w:pPr>
  </w:style>
  <w:style w:type="paragraph" w:customStyle="1" w:styleId="ListAlpha">
    <w:name w:val="List Alpha"/>
    <w:basedOn w:val="List"/>
    <w:rsid w:val="00C649F9"/>
    <w:pPr>
      <w:numPr>
        <w:numId w:val="7"/>
      </w:numPr>
    </w:pPr>
  </w:style>
  <w:style w:type="paragraph" w:customStyle="1" w:styleId="ListAlpha2">
    <w:name w:val="List Alpha 2"/>
    <w:basedOn w:val="List2"/>
    <w:rsid w:val="00C649F9"/>
    <w:pPr>
      <w:numPr>
        <w:numId w:val="6"/>
      </w:numPr>
    </w:pPr>
  </w:style>
  <w:style w:type="paragraph" w:styleId="List2">
    <w:name w:val="List 2"/>
    <w:basedOn w:val="BodyText"/>
    <w:rsid w:val="00C649F9"/>
    <w:pPr>
      <w:tabs>
        <w:tab w:val="left" w:pos="680"/>
      </w:tabs>
      <w:spacing w:before="60" w:after="60"/>
      <w:ind w:left="680" w:hanging="340"/>
    </w:pPr>
  </w:style>
  <w:style w:type="paragraph" w:styleId="List3">
    <w:name w:val="List 3"/>
    <w:basedOn w:val="BodyText"/>
    <w:rsid w:val="00C649F9"/>
    <w:pPr>
      <w:tabs>
        <w:tab w:val="left" w:pos="1021"/>
      </w:tabs>
      <w:spacing w:before="60" w:after="60"/>
      <w:ind w:left="1020" w:hanging="340"/>
    </w:pPr>
  </w:style>
  <w:style w:type="paragraph" w:styleId="List4">
    <w:name w:val="List 4"/>
    <w:basedOn w:val="BodyText"/>
    <w:rsid w:val="00C649F9"/>
    <w:pPr>
      <w:tabs>
        <w:tab w:val="left" w:pos="1361"/>
      </w:tabs>
      <w:spacing w:before="60" w:after="60"/>
      <w:ind w:left="1361" w:hanging="340"/>
    </w:pPr>
  </w:style>
  <w:style w:type="paragraph" w:styleId="List5">
    <w:name w:val="List 5"/>
    <w:basedOn w:val="BodyText"/>
    <w:rsid w:val="00C649F9"/>
    <w:pPr>
      <w:tabs>
        <w:tab w:val="left" w:pos="1701"/>
      </w:tabs>
      <w:spacing w:before="60" w:after="60"/>
      <w:ind w:left="1701" w:hanging="340"/>
    </w:pPr>
  </w:style>
  <w:style w:type="paragraph" w:styleId="ListBullet3">
    <w:name w:val="List Bullet 3"/>
    <w:basedOn w:val="List3"/>
    <w:rsid w:val="00C649F9"/>
    <w:pPr>
      <w:numPr>
        <w:numId w:val="12"/>
      </w:numPr>
      <w:tabs>
        <w:tab w:val="clear" w:pos="1021"/>
      </w:tabs>
      <w:ind w:left="1037" w:hanging="357"/>
    </w:pPr>
  </w:style>
  <w:style w:type="paragraph" w:styleId="ListBullet4">
    <w:name w:val="List Bullet 4"/>
    <w:basedOn w:val="List4"/>
    <w:rsid w:val="00C649F9"/>
    <w:pPr>
      <w:numPr>
        <w:numId w:val="1"/>
      </w:numPr>
      <w:tabs>
        <w:tab w:val="clear" w:pos="1361"/>
      </w:tabs>
    </w:pPr>
  </w:style>
  <w:style w:type="paragraph" w:styleId="ListBullet5">
    <w:name w:val="List Bullet 5"/>
    <w:basedOn w:val="List5"/>
    <w:rsid w:val="00C649F9"/>
    <w:pPr>
      <w:numPr>
        <w:numId w:val="2"/>
      </w:numPr>
    </w:pPr>
  </w:style>
  <w:style w:type="paragraph" w:styleId="ListContinue2">
    <w:name w:val="List Continue 2"/>
    <w:basedOn w:val="List2"/>
    <w:rsid w:val="00C649F9"/>
    <w:pPr>
      <w:ind w:firstLine="0"/>
    </w:pPr>
  </w:style>
  <w:style w:type="paragraph" w:styleId="ListContinue3">
    <w:name w:val="List Continue 3"/>
    <w:basedOn w:val="List3"/>
    <w:rsid w:val="00C649F9"/>
    <w:pPr>
      <w:ind w:left="1021" w:firstLine="0"/>
    </w:pPr>
  </w:style>
  <w:style w:type="paragraph" w:styleId="ListContinue4">
    <w:name w:val="List Continue 4"/>
    <w:basedOn w:val="List4"/>
    <w:rsid w:val="00C649F9"/>
    <w:pPr>
      <w:ind w:firstLine="0"/>
    </w:pPr>
  </w:style>
  <w:style w:type="paragraph" w:styleId="ListContinue5">
    <w:name w:val="List Continue 5"/>
    <w:basedOn w:val="List5"/>
    <w:rsid w:val="00C649F9"/>
    <w:pPr>
      <w:ind w:firstLine="0"/>
    </w:pPr>
  </w:style>
  <w:style w:type="paragraph" w:styleId="ListNumber3">
    <w:name w:val="List Number 3"/>
    <w:basedOn w:val="List3"/>
    <w:rsid w:val="00C649F9"/>
    <w:pPr>
      <w:numPr>
        <w:numId w:val="3"/>
      </w:numPr>
    </w:pPr>
  </w:style>
  <w:style w:type="paragraph" w:styleId="ListNumber4">
    <w:name w:val="List Number 4"/>
    <w:basedOn w:val="List4"/>
    <w:rsid w:val="00C649F9"/>
    <w:pPr>
      <w:numPr>
        <w:numId w:val="4"/>
      </w:numPr>
    </w:pPr>
  </w:style>
  <w:style w:type="paragraph" w:styleId="ListNumber5">
    <w:name w:val="List Number 5"/>
    <w:basedOn w:val="List5"/>
    <w:rsid w:val="00C649F9"/>
    <w:pPr>
      <w:numPr>
        <w:numId w:val="5"/>
      </w:numPr>
    </w:pPr>
  </w:style>
  <w:style w:type="paragraph" w:styleId="BlockText">
    <w:name w:val="Block Text"/>
    <w:basedOn w:val="Normal"/>
    <w:rsid w:val="00C649F9"/>
    <w:pPr>
      <w:spacing w:after="120"/>
      <w:ind w:left="1440" w:right="1440"/>
    </w:pPr>
  </w:style>
  <w:style w:type="character" w:customStyle="1" w:styleId="Subscript">
    <w:name w:val="Subscript"/>
    <w:basedOn w:val="DefaultParagraphFont"/>
    <w:rsid w:val="00C649F9"/>
    <w:rPr>
      <w:sz w:val="16"/>
      <w:vertAlign w:val="subscript"/>
    </w:rPr>
  </w:style>
  <w:style w:type="character" w:customStyle="1" w:styleId="Superscript">
    <w:name w:val="Superscript"/>
    <w:basedOn w:val="DefaultParagraphFont"/>
    <w:rsid w:val="00C649F9"/>
    <w:rPr>
      <w:sz w:val="16"/>
      <w:vertAlign w:val="superscript"/>
    </w:rPr>
  </w:style>
  <w:style w:type="character" w:customStyle="1" w:styleId="Symbols">
    <w:name w:val="Symbols"/>
    <w:basedOn w:val="DefaultParagraphFont"/>
    <w:rsid w:val="00C649F9"/>
    <w:rPr>
      <w:rFonts w:ascii="Symbol" w:hAnsi="Symbol"/>
    </w:rPr>
  </w:style>
  <w:style w:type="character" w:customStyle="1" w:styleId="MenuOptions">
    <w:name w:val="Menu Options"/>
    <w:basedOn w:val="DefaultParagraphFont"/>
    <w:rsid w:val="00C649F9"/>
    <w:rPr>
      <w:rFonts w:ascii="Arial Narrow" w:hAnsi="Arial Narrow"/>
      <w:smallCaps/>
    </w:rPr>
  </w:style>
  <w:style w:type="character" w:customStyle="1" w:styleId="Buttons">
    <w:name w:val="Buttons"/>
    <w:basedOn w:val="DefaultParagraphFont"/>
    <w:rsid w:val="00C649F9"/>
    <w:rPr>
      <w:b/>
    </w:rPr>
  </w:style>
  <w:style w:type="character" w:customStyle="1" w:styleId="Underlined">
    <w:name w:val="Underlined"/>
    <w:basedOn w:val="DefaultParagraphFont"/>
    <w:rsid w:val="00C649F9"/>
    <w:rPr>
      <w:u w:val="single"/>
    </w:rPr>
  </w:style>
  <w:style w:type="paragraph" w:customStyle="1" w:styleId="TableBodyTextRight">
    <w:name w:val="Table Body Text Right"/>
    <w:basedOn w:val="TableBodyText"/>
    <w:rsid w:val="00C649F9"/>
    <w:pPr>
      <w:widowControl w:val="0"/>
      <w:autoSpaceDE w:val="0"/>
      <w:autoSpaceDN w:val="0"/>
      <w:adjustRightInd w:val="0"/>
      <w:jc w:val="right"/>
    </w:pPr>
    <w:rPr>
      <w:rFonts w:cs="Arial"/>
      <w:szCs w:val="18"/>
    </w:rPr>
  </w:style>
  <w:style w:type="paragraph" w:customStyle="1" w:styleId="CopyrightText">
    <w:name w:val="Copyright Text"/>
    <w:basedOn w:val="BodyText"/>
    <w:rsid w:val="00C649F9"/>
    <w:rPr>
      <w:sz w:val="18"/>
    </w:rPr>
  </w:style>
  <w:style w:type="paragraph" w:customStyle="1" w:styleId="BodySmallRight">
    <w:name w:val="Body Small Right"/>
    <w:basedOn w:val="BodyTextRight"/>
    <w:rsid w:val="00C649F9"/>
    <w:rPr>
      <w:sz w:val="18"/>
      <w:szCs w:val="18"/>
    </w:rPr>
  </w:style>
  <w:style w:type="paragraph" w:customStyle="1" w:styleId="MarginEdition">
    <w:name w:val="Margin Edition"/>
    <w:basedOn w:val="MarginNote"/>
    <w:rsid w:val="00C649F9"/>
    <w:pPr>
      <w:spacing w:before="0" w:after="0"/>
    </w:pPr>
    <w:rPr>
      <w:rFonts w:ascii="Times New Roman" w:hAnsi="Times New Roman"/>
      <w:color w:val="999999"/>
    </w:rPr>
  </w:style>
  <w:style w:type="paragraph" w:customStyle="1" w:styleId="Spacer">
    <w:name w:val="Spacer"/>
    <w:basedOn w:val="Normal"/>
    <w:rsid w:val="00C649F9"/>
    <w:rPr>
      <w:sz w:val="2"/>
      <w:szCs w:val="2"/>
    </w:rPr>
  </w:style>
  <w:style w:type="character" w:customStyle="1" w:styleId="Small">
    <w:name w:val="Small"/>
    <w:basedOn w:val="DefaultParagraphFont"/>
    <w:rsid w:val="00C649F9"/>
    <w:rPr>
      <w:sz w:val="16"/>
    </w:rPr>
  </w:style>
  <w:style w:type="paragraph" w:customStyle="1" w:styleId="WideTable">
    <w:name w:val="Wide Table"/>
    <w:basedOn w:val="Normal"/>
    <w:rsid w:val="00C649F9"/>
    <w:pPr>
      <w:ind w:left="-1418"/>
    </w:pPr>
    <w:rPr>
      <w:sz w:val="2"/>
      <w:szCs w:val="2"/>
    </w:rPr>
  </w:style>
  <w:style w:type="character" w:styleId="PageNumber">
    <w:name w:val="page number"/>
    <w:basedOn w:val="DefaultParagraphFont"/>
    <w:rsid w:val="00C649F9"/>
  </w:style>
  <w:style w:type="paragraph" w:styleId="Quote">
    <w:name w:val="Quote"/>
    <w:basedOn w:val="Heading1"/>
    <w:link w:val="QuoteChar"/>
    <w:qFormat/>
    <w:rsid w:val="00C649F9"/>
    <w:rPr>
      <w:b w:val="0"/>
      <w:sz w:val="72"/>
      <w:szCs w:val="72"/>
      <w:lang w:val="en-NZ"/>
    </w:rPr>
  </w:style>
  <w:style w:type="character" w:customStyle="1" w:styleId="QuoteChar">
    <w:name w:val="Quote Char"/>
    <w:basedOn w:val="DefaultParagraphFont"/>
    <w:link w:val="Quote"/>
    <w:rsid w:val="00C649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49F9"/>
    <w:pPr>
      <w:pageBreakBefore/>
    </w:pPr>
  </w:style>
  <w:style w:type="paragraph" w:customStyle="1" w:styleId="Border">
    <w:name w:val="Border"/>
    <w:basedOn w:val="Normal"/>
    <w:qFormat/>
    <w:rsid w:val="00C649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49F9"/>
    <w:rPr>
      <w:b/>
      <w:bCs/>
      <w:i/>
      <w:iCs/>
      <w:color w:val="auto"/>
    </w:rPr>
  </w:style>
  <w:style w:type="paragraph" w:styleId="IntenseQuote">
    <w:name w:val="Intense Quote"/>
    <w:basedOn w:val="Normal"/>
    <w:next w:val="Normal"/>
    <w:link w:val="IntenseQuoteChar"/>
    <w:uiPriority w:val="30"/>
    <w:qFormat/>
    <w:rsid w:val="00C649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49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49F9"/>
    <w:rPr>
      <w:smallCaps/>
      <w:color w:val="auto"/>
      <w:u w:val="single"/>
    </w:rPr>
  </w:style>
  <w:style w:type="character" w:styleId="IntenseReference">
    <w:name w:val="Intense Reference"/>
    <w:basedOn w:val="DefaultParagraphFont"/>
    <w:uiPriority w:val="32"/>
    <w:qFormat/>
    <w:rsid w:val="00C649F9"/>
    <w:rPr>
      <w:b/>
      <w:bCs/>
      <w:smallCaps/>
      <w:color w:val="auto"/>
      <w:spacing w:val="5"/>
      <w:u w:val="single"/>
    </w:rPr>
  </w:style>
  <w:style w:type="paragraph" w:customStyle="1" w:styleId="2ColumnHeading">
    <w:name w:val="2Column Heading"/>
    <w:basedOn w:val="BodyText"/>
    <w:qFormat/>
    <w:rsid w:val="00C649F9"/>
    <w:pPr>
      <w:spacing w:after="60"/>
      <w:ind w:left="-2268"/>
    </w:pPr>
    <w:rPr>
      <w:b/>
    </w:rPr>
  </w:style>
  <w:style w:type="paragraph" w:customStyle="1" w:styleId="Heading1TOC">
    <w:name w:val="Heading1 TOC"/>
    <w:basedOn w:val="Normal"/>
    <w:qFormat/>
    <w:rsid w:val="00C649F9"/>
    <w:pPr>
      <w:spacing w:before="240" w:after="120"/>
    </w:pPr>
    <w:rPr>
      <w:rFonts w:ascii="Times New Roman" w:hAnsi="Times New Roman"/>
      <w:b/>
      <w:sz w:val="32"/>
    </w:rPr>
  </w:style>
  <w:style w:type="paragraph" w:customStyle="1" w:styleId="Heading2TOC">
    <w:name w:val="Heading2 TOC"/>
    <w:basedOn w:val="Normal"/>
    <w:qFormat/>
    <w:rsid w:val="00C649F9"/>
    <w:pPr>
      <w:spacing w:before="240" w:after="60"/>
    </w:pPr>
    <w:rPr>
      <w:rFonts w:ascii="Times New Roman" w:hAnsi="Times New Roman"/>
      <w:b/>
      <w:sz w:val="28"/>
    </w:rPr>
  </w:style>
  <w:style w:type="character" w:customStyle="1" w:styleId="Underline">
    <w:name w:val="Underline"/>
    <w:basedOn w:val="DefaultParagraphFont"/>
    <w:qFormat/>
    <w:rsid w:val="00C649F9"/>
    <w:rPr>
      <w:u w:val="single"/>
    </w:rPr>
  </w:style>
  <w:style w:type="character" w:customStyle="1" w:styleId="BoldandItalics">
    <w:name w:val="Bold and Italics"/>
    <w:qFormat/>
    <w:rsid w:val="00C649F9"/>
    <w:rPr>
      <w:b/>
      <w:i/>
      <w:u w:val="none"/>
    </w:rPr>
  </w:style>
  <w:style w:type="paragraph" w:styleId="BalloonText">
    <w:name w:val="Balloon Text"/>
    <w:basedOn w:val="Normal"/>
    <w:link w:val="BalloonTextChar"/>
    <w:rsid w:val="00C649F9"/>
    <w:rPr>
      <w:rFonts w:ascii="Tahoma" w:hAnsi="Tahoma" w:cs="Tahoma"/>
      <w:sz w:val="16"/>
      <w:szCs w:val="16"/>
    </w:rPr>
  </w:style>
  <w:style w:type="character" w:customStyle="1" w:styleId="BalloonTextChar">
    <w:name w:val="Balloon Text Char"/>
    <w:basedOn w:val="DefaultParagraphFont"/>
    <w:link w:val="BalloonText"/>
    <w:rsid w:val="00C649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49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49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49F9"/>
    <w:rPr>
      <w:b/>
      <w:color w:val="660033"/>
      <w:spacing w:val="0"/>
    </w:rPr>
  </w:style>
  <w:style w:type="paragraph" w:customStyle="1" w:styleId="Nameditemlist">
    <w:name w:val="Named item list"/>
    <w:basedOn w:val="BodyText"/>
    <w:qFormat/>
    <w:rsid w:val="00C649F9"/>
    <w:pPr>
      <w:tabs>
        <w:tab w:val="left" w:pos="2835"/>
      </w:tabs>
      <w:ind w:left="2835" w:hanging="2835"/>
    </w:pPr>
  </w:style>
  <w:style w:type="paragraph" w:customStyle="1" w:styleId="BodyTextnopadding">
    <w:name w:val="Body Text no padding"/>
    <w:basedOn w:val="BodyText"/>
    <w:qFormat/>
    <w:rsid w:val="00C649F9"/>
    <w:pPr>
      <w:spacing w:before="0" w:after="0"/>
    </w:pPr>
  </w:style>
  <w:style w:type="paragraph" w:customStyle="1" w:styleId="BodyTextBold">
    <w:name w:val="Body Text Bold"/>
    <w:basedOn w:val="BodyText"/>
    <w:qFormat/>
    <w:rsid w:val="00C649F9"/>
    <w:rPr>
      <w:b/>
    </w:rPr>
  </w:style>
  <w:style w:type="character" w:styleId="Hyperlink">
    <w:name w:val="Hyperlink"/>
    <w:basedOn w:val="DefaultParagraphFont"/>
    <w:uiPriority w:val="99"/>
    <w:unhideWhenUsed/>
    <w:rsid w:val="000E3C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803</Words>
  <Characters>4849</Characters>
  <Application>Microsoft Office Word</Application>
  <DocSecurity>0</DocSecurity>
  <Lines>255</Lines>
  <Paragraphs>131</Paragraphs>
  <ScaleCrop>false</ScaleCrop>
  <Company>Author-it Software Corporation Ltd.</Company>
  <LinksUpToDate>false</LinksUpToDate>
  <CharactersWithSpaces>5521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TLIC4069 Operate heavy recovery vehicle</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2021-04-12T02:10:00Z</dcterms:created>
  <dcterms:modified xsi:type="dcterms:W3CDTF">2021-04-12T02:10:00Z</dcterms:modified>
</cp:coreProperties>
</file>