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33D7" w:rsidP="007A33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TLIC4068 Operate heavy recovery ancillary equipment</w:t>
      </w:r>
      <w:r>
        <w:fldChar w:fldCharType="end"/>
      </w:r>
    </w:p>
    <w:p w:rsidR="007A33D7" w:rsidP="007A33D7">
      <w:pPr>
        <w:pStyle w:val="Version"/>
        <w:sectPr w:rsidSect="00DC66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6689" w:rsidP="00DC6689">
      <w:pPr>
        <w:pStyle w:val="SuperHeading"/>
      </w:pPr>
      <w:r w:rsidRPr="00DC6689">
        <w:t>TLIC4068 Operate heavy recovery ancillary equipment</w:t>
      </w:r>
    </w:p>
    <w:p w:rsidR="00000000" w:rsidRPr="00DC6689" w:rsidP="00DC6689">
      <w:pPr>
        <w:pStyle w:val="Heading1"/>
      </w:pPr>
      <w:bookmarkStart w:id="1" w:name="O_842277"/>
      <w:bookmarkEnd w:id="1"/>
      <w:r w:rsidRPr="00DC6689">
        <w:t>Modification History</w:t>
      </w:r>
    </w:p>
    <w:p w:rsidR="007A33D7" w:rsidP="007A33D7">
      <w:pPr>
        <w:pStyle w:val="BodyText"/>
      </w:pPr>
      <w:r w:rsidRPr="00DC6689">
        <w:t>Release 1. This is the first release of this unit of competency in the TLI Transport and Logistics Training Package.</w:t>
      </w:r>
    </w:p>
    <w:p w:rsidR="00000000" w:rsidRPr="00DC6689" w:rsidP="00DC6689">
      <w:pPr>
        <w:pStyle w:val="Heading1"/>
      </w:pPr>
      <w:bookmarkStart w:id="2" w:name="O_842278"/>
      <w:bookmarkEnd w:id="2"/>
      <w:r w:rsidRPr="00DC6689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DC66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689" w:rsidP="00DC6689">
            <w:pPr>
              <w:pStyle w:val="BodyText"/>
            </w:pPr>
            <w:r w:rsidRPr="00DC6689">
              <w:t>This unit involves the skills and knowledge required to operate a range of heavy</w:t>
            </w:r>
            <w:r w:rsidRPr="00DC6689">
              <w:t xml:space="preserve"> recovery ancillary equipment used in the towing and recovery process.</w:t>
            </w:r>
          </w:p>
          <w:p w:rsidR="00000000" w:rsidRPr="00DC6689" w:rsidP="00DC6689">
            <w:pPr>
              <w:pStyle w:val="BodyText"/>
            </w:pPr>
            <w:r w:rsidRPr="00DC6689">
              <w:t xml:space="preserve">It includes checking job requirements, preparing heavy recovery ancillary equipment for use, operating ancillary equipment, and shutting down heavy recovery ancillary equipment. </w:t>
            </w:r>
          </w:p>
          <w:p w:rsidR="00000000" w:rsidRPr="00DC6689" w:rsidP="00DC6689">
            <w:pPr>
              <w:pStyle w:val="BodyText"/>
            </w:pPr>
            <w:r w:rsidRPr="00DC6689">
              <w:t>This u</w:t>
            </w:r>
            <w:r w:rsidRPr="00DC6689">
              <w:t>nit applies to those working in the heavy recovery industry. It does not include salvage operations.</w:t>
            </w:r>
          </w:p>
          <w:p w:rsidR="00000000" w:rsidRPr="00DC6689" w:rsidP="00DC6689">
            <w:pPr>
              <w:pStyle w:val="BodyText"/>
            </w:pPr>
            <w:r w:rsidRPr="00DC6689">
              <w:t>No licensing, legislative or certification requirements apply to this unit at the time of publication.</w:t>
            </w:r>
          </w:p>
        </w:tc>
      </w:tr>
    </w:tbl>
    <w:p w:rsidR="007A33D7" w:rsidP="00DC6689">
      <w:pPr>
        <w:pStyle w:val="BodyText"/>
      </w:pPr>
    </w:p>
    <w:p w:rsidR="007A33D7" w:rsidP="00DC6689">
      <w:pPr>
        <w:pStyle w:val="BodyText"/>
      </w:pPr>
    </w:p>
    <w:p w:rsidR="00000000" w:rsidRPr="00DC6689" w:rsidP="00DC6689">
      <w:pPr>
        <w:pStyle w:val="Heading1"/>
      </w:pPr>
      <w:bookmarkStart w:id="3" w:name="O_842279"/>
      <w:bookmarkEnd w:id="3"/>
      <w:r w:rsidRPr="00DC6689">
        <w:t>Pre-requisite Unit</w:t>
      </w:r>
    </w:p>
    <w:p w:rsidR="007A33D7" w:rsidP="007A33D7">
      <w:pPr>
        <w:pStyle w:val="BodyText"/>
      </w:pPr>
      <w:r w:rsidRPr="00DC6689">
        <w:t>Not applicabl</w:t>
      </w:r>
      <w:r w:rsidRPr="00DC6689">
        <w:t>e.</w:t>
      </w:r>
    </w:p>
    <w:p w:rsidR="00000000" w:rsidRPr="00DC6689" w:rsidP="00DC6689">
      <w:pPr>
        <w:pStyle w:val="Heading1"/>
      </w:pPr>
      <w:bookmarkStart w:id="4" w:name="O_842280"/>
      <w:bookmarkEnd w:id="4"/>
      <w:r w:rsidRPr="00DC6689">
        <w:t>Competency Field</w:t>
      </w:r>
    </w:p>
    <w:p w:rsidR="007A33D7" w:rsidP="007A33D7">
      <w:pPr>
        <w:pStyle w:val="BodyText"/>
      </w:pPr>
      <w:r w:rsidRPr="00DC6689">
        <w:t>C – Vehicle Operation</w:t>
      </w:r>
    </w:p>
    <w:p w:rsidR="00000000" w:rsidRPr="00DC6689" w:rsidP="00DC6689">
      <w:pPr>
        <w:pStyle w:val="Heading1"/>
      </w:pPr>
      <w:bookmarkStart w:id="5" w:name="O_842281"/>
      <w:bookmarkEnd w:id="5"/>
      <w:r w:rsidRPr="00DC6689">
        <w:t>Unit Sector</w:t>
      </w:r>
    </w:p>
    <w:p w:rsidR="007A33D7" w:rsidP="007A33D7">
      <w:pPr>
        <w:pStyle w:val="BodyText"/>
      </w:pPr>
      <w:r w:rsidRPr="00DC6689">
        <w:t>Not applicable.</w:t>
      </w:r>
    </w:p>
    <w:p w:rsidR="00000000" w:rsidRPr="00DC6689" w:rsidP="00DC6689">
      <w:pPr>
        <w:pStyle w:val="Heading1"/>
      </w:pPr>
      <w:bookmarkStart w:id="6" w:name="O_842282"/>
      <w:bookmarkEnd w:id="6"/>
      <w:r w:rsidRPr="00DC6689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7A33D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689" w:rsidP="00DC6689">
            <w:pPr>
              <w:pStyle w:val="BodyText"/>
            </w:pPr>
            <w:r w:rsidRPr="00DC6689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689">
            <w:pPr>
              <w:pStyle w:val="BodyText"/>
              <w:rPr>
                <w:lang w:val="en-NZ"/>
              </w:rPr>
            </w:pPr>
            <w:r w:rsidRPr="00DC6689">
              <w:rPr>
                <w:rStyle w:val="SpecialBold"/>
              </w:rPr>
              <w:t>PERFORMANCE CRITERIA</w:t>
            </w:r>
          </w:p>
        </w:tc>
      </w:tr>
      <w:tr w:rsidTr="007A33D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689">
            <w:pPr>
              <w:pStyle w:val="BodyText"/>
              <w:rPr>
                <w:lang w:val="en-NZ"/>
              </w:rPr>
            </w:pPr>
            <w:r w:rsidRPr="00DC6689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689">
            <w:pPr>
              <w:pStyle w:val="BodyText"/>
              <w:rPr>
                <w:lang w:val="en-NZ"/>
              </w:rPr>
            </w:pPr>
            <w:r w:rsidRPr="00DC6689">
              <w:t>Performance criteria describe the performance needed to demonstrate achievement of the element.</w:t>
            </w:r>
          </w:p>
        </w:tc>
      </w:tr>
      <w:tr w:rsidTr="007A33D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689" w:rsidP="00DC6689">
            <w:pPr>
              <w:pStyle w:val="BodyText"/>
            </w:pPr>
            <w:r w:rsidRPr="00DC6689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689">
            <w:pPr>
              <w:pStyle w:val="BodyText"/>
              <w:rPr>
                <w:lang w:val="en-NZ"/>
              </w:rPr>
            </w:pPr>
            <w:r w:rsidRPr="00DC6689">
              <w:rPr>
                <w:rStyle w:val="SpecialBold"/>
              </w:rPr>
              <w:t>Check job requirements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689">
            <w:pPr>
              <w:pStyle w:val="BodyText"/>
              <w:rPr>
                <w:lang w:val="en-NZ"/>
              </w:rPr>
            </w:pPr>
            <w:r w:rsidRPr="00DC6689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689">
            <w:pPr>
              <w:pStyle w:val="BodyText"/>
              <w:rPr>
                <w:lang w:val="en-NZ"/>
              </w:rPr>
            </w:pPr>
            <w:r w:rsidRPr="00DC6689">
              <w:t>Job is reviewed to identify equipment and operating requirements</w:t>
            </w:r>
          </w:p>
        </w:tc>
      </w:tr>
      <w:tr w:rsidTr="007A33D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689">
            <w:pPr>
              <w:pStyle w:val="BodyText"/>
              <w:rPr>
                <w:lang w:val="en-NZ"/>
              </w:rPr>
            </w:pPr>
            <w:r w:rsidRPr="00DC6689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689">
            <w:pPr>
              <w:pStyle w:val="BodyText"/>
              <w:rPr>
                <w:lang w:val="en-NZ"/>
              </w:rPr>
            </w:pPr>
            <w:r w:rsidRPr="00DC6689">
              <w:t>Ancillary equipment, materials and personnel requirements for safe, effective and efficient operation are identified and organised</w:t>
            </w:r>
          </w:p>
        </w:tc>
      </w:tr>
      <w:tr w:rsidTr="007A33D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689">
            <w:pPr>
              <w:pStyle w:val="BodyText"/>
              <w:rPr>
                <w:lang w:val="en-NZ"/>
              </w:rPr>
            </w:pPr>
            <w:r w:rsidRPr="00DC6689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689">
            <w:pPr>
              <w:pStyle w:val="BodyText"/>
              <w:rPr>
                <w:lang w:val="en-NZ"/>
              </w:rPr>
            </w:pPr>
            <w:r w:rsidRPr="00DC6689">
              <w:t>Suitable personal protective equipment  and clothing are selected, used, maintained and stored in accordance with work</w:t>
            </w:r>
            <w:r w:rsidRPr="00DC6689">
              <w:t xml:space="preserve"> health and safety (WHS)/occupational health and safety (OHS) requirements</w:t>
            </w:r>
          </w:p>
        </w:tc>
      </w:tr>
      <w:tr w:rsidTr="007A33D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689" w:rsidP="00DC6689">
            <w:pPr>
              <w:pStyle w:val="BodyText"/>
            </w:pPr>
            <w:r w:rsidRPr="00DC6689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689">
            <w:pPr>
              <w:pStyle w:val="BodyText"/>
              <w:rPr>
                <w:lang w:val="en-NZ"/>
              </w:rPr>
            </w:pPr>
            <w:r w:rsidRPr="00DC6689">
              <w:rPr>
                <w:rStyle w:val="SpecialBold"/>
              </w:rPr>
              <w:t>Prepare heavy recovery ancillary equipment for use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689">
            <w:pPr>
              <w:pStyle w:val="BodyText"/>
              <w:rPr>
                <w:lang w:val="en-NZ"/>
              </w:rPr>
            </w:pPr>
            <w:r w:rsidRPr="00DC6689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689">
            <w:pPr>
              <w:pStyle w:val="BodyText"/>
              <w:rPr>
                <w:lang w:val="en-NZ"/>
              </w:rPr>
            </w:pPr>
            <w:r w:rsidRPr="00DC6689">
              <w:t>Routine pre-operational checks are carried out in accordance with organisational requirements and manufacturer specificatio</w:t>
            </w:r>
            <w:r w:rsidRPr="00DC6689">
              <w:t>ns</w:t>
            </w:r>
          </w:p>
        </w:tc>
      </w:tr>
      <w:tr w:rsidTr="007A33D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689">
            <w:pPr>
              <w:pStyle w:val="BodyText"/>
              <w:rPr>
                <w:lang w:val="en-NZ"/>
              </w:rPr>
            </w:pPr>
            <w:r w:rsidRPr="00DC6689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689">
            <w:pPr>
              <w:pStyle w:val="BodyText"/>
              <w:rPr>
                <w:lang w:val="en-NZ"/>
              </w:rPr>
            </w:pPr>
            <w:r w:rsidRPr="00DC6689">
              <w:t>Operational systems are checked and calibrated for correct operation in accordance with organisational requirements and manufacturer specifications</w:t>
            </w:r>
          </w:p>
        </w:tc>
      </w:tr>
      <w:tr w:rsidTr="007A33D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689">
            <w:pPr>
              <w:pStyle w:val="BodyText"/>
              <w:rPr>
                <w:lang w:val="en-NZ"/>
              </w:rPr>
            </w:pPr>
            <w:r w:rsidRPr="00DC6689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689">
            <w:pPr>
              <w:pStyle w:val="BodyText"/>
              <w:rPr>
                <w:lang w:val="en-NZ"/>
              </w:rPr>
            </w:pPr>
            <w:r w:rsidRPr="00DC6689">
              <w:t>Faulty equipment is identified, safety tagged and reported promptly in accordance with organisational procedures</w:t>
            </w:r>
          </w:p>
        </w:tc>
      </w:tr>
      <w:tr w:rsidTr="007A33D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689">
            <w:pPr>
              <w:pStyle w:val="BodyText"/>
              <w:rPr>
                <w:lang w:val="en-NZ"/>
              </w:rPr>
            </w:pPr>
            <w:r w:rsidRPr="00DC6689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689">
            <w:pPr>
              <w:pStyle w:val="BodyText"/>
              <w:rPr>
                <w:lang w:val="en-NZ"/>
              </w:rPr>
            </w:pPr>
            <w:r w:rsidRPr="00DC6689">
              <w:t>WHS/OHS hazards associated with equipment operation are identified, and risk is assessed and handled in accordance with organisational p</w:t>
            </w:r>
            <w:r w:rsidRPr="00DC6689">
              <w:t>rocedures</w:t>
            </w:r>
          </w:p>
        </w:tc>
      </w:tr>
      <w:tr w:rsidTr="007A33D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689">
            <w:pPr>
              <w:pStyle w:val="BodyText"/>
              <w:rPr>
                <w:lang w:val="en-NZ"/>
              </w:rPr>
            </w:pPr>
            <w:r w:rsidRPr="00DC6689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689">
            <w:pPr>
              <w:pStyle w:val="BodyText"/>
              <w:rPr>
                <w:lang w:val="en-NZ"/>
              </w:rPr>
            </w:pPr>
            <w:r w:rsidRPr="00DC6689">
              <w:t>Environmental implications associated with operations are identified, assessed and reported in accordance with organisational procedures</w:t>
            </w:r>
          </w:p>
        </w:tc>
      </w:tr>
      <w:tr w:rsidTr="007A33D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689" w:rsidP="00DC6689">
            <w:pPr>
              <w:pStyle w:val="BodyText"/>
            </w:pPr>
            <w:r w:rsidRPr="00DC6689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689">
            <w:pPr>
              <w:pStyle w:val="BodyText"/>
              <w:rPr>
                <w:lang w:val="en-NZ"/>
              </w:rPr>
            </w:pPr>
            <w:r w:rsidRPr="00DC6689">
              <w:rPr>
                <w:rStyle w:val="SpecialBold"/>
              </w:rPr>
              <w:t>Operate ancillary equipment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689">
            <w:pPr>
              <w:pStyle w:val="BodyText"/>
              <w:rPr>
                <w:lang w:val="en-NZ"/>
              </w:rPr>
            </w:pPr>
            <w:r w:rsidRPr="00DC6689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689">
            <w:pPr>
              <w:pStyle w:val="BodyText"/>
              <w:rPr>
                <w:lang w:val="en-NZ"/>
              </w:rPr>
            </w:pPr>
            <w:r w:rsidRPr="00DC6689">
              <w:t>Operational area is checked and personnel in that area are informed of initiation of operation</w:t>
            </w:r>
          </w:p>
        </w:tc>
      </w:tr>
      <w:tr w:rsidTr="007A33D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689">
            <w:pPr>
              <w:pStyle w:val="BodyText"/>
              <w:rPr>
                <w:lang w:val="en-NZ"/>
              </w:rPr>
            </w:pPr>
            <w:r w:rsidRPr="00DC6689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689">
            <w:pPr>
              <w:pStyle w:val="BodyText"/>
              <w:rPr>
                <w:lang w:val="en-NZ"/>
              </w:rPr>
            </w:pPr>
            <w:r w:rsidRPr="00DC6689">
              <w:t>Equipment is started up using correct sequence in accordance with organisational requirements and manufacturer specifications</w:t>
            </w:r>
          </w:p>
        </w:tc>
      </w:tr>
      <w:tr w:rsidTr="007A33D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689">
            <w:pPr>
              <w:pStyle w:val="BodyText"/>
              <w:rPr>
                <w:lang w:val="en-NZ"/>
              </w:rPr>
            </w:pPr>
            <w:r w:rsidRPr="00DC6689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689">
            <w:pPr>
              <w:pStyle w:val="BodyText"/>
              <w:rPr>
                <w:lang w:val="en-NZ"/>
              </w:rPr>
            </w:pPr>
            <w:r w:rsidRPr="00DC6689">
              <w:t>Equipment is operated in a safe and controlled manner in accordance with manufacturer specifications, and is monitored for performance and efficiency</w:t>
            </w:r>
          </w:p>
        </w:tc>
      </w:tr>
      <w:tr w:rsidTr="007A33D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689">
            <w:pPr>
              <w:pStyle w:val="BodyText"/>
              <w:rPr>
                <w:lang w:val="en-NZ"/>
              </w:rPr>
            </w:pPr>
            <w:r w:rsidRPr="00DC6689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689">
            <w:pPr>
              <w:pStyle w:val="BodyText"/>
              <w:rPr>
                <w:lang w:val="en-NZ"/>
              </w:rPr>
            </w:pPr>
            <w:r w:rsidRPr="00DC6689">
              <w:t>Input materials are monitored and non-conformances are identified and handled in accordance with or</w:t>
            </w:r>
            <w:r w:rsidRPr="00DC6689">
              <w:t>ganisational requirements</w:t>
            </w:r>
          </w:p>
        </w:tc>
      </w:tr>
      <w:tr w:rsidTr="007A33D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689">
            <w:pPr>
              <w:pStyle w:val="BodyText"/>
              <w:rPr>
                <w:lang w:val="en-NZ"/>
              </w:rPr>
            </w:pPr>
            <w:r w:rsidRPr="00DC6689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689">
            <w:pPr>
              <w:pStyle w:val="BodyText"/>
              <w:rPr>
                <w:lang w:val="en-NZ"/>
              </w:rPr>
            </w:pPr>
            <w:r w:rsidRPr="00DC6689">
              <w:t>Processing outputs are monitored and adjustments to equipment operation are made in accordance with job requirements</w:t>
            </w:r>
          </w:p>
        </w:tc>
      </w:tr>
      <w:tr w:rsidTr="007A33D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689" w:rsidP="00DC6689">
            <w:pPr>
              <w:pStyle w:val="BodyText"/>
            </w:pPr>
            <w:r w:rsidRPr="00DC6689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689">
            <w:pPr>
              <w:pStyle w:val="BodyText"/>
              <w:rPr>
                <w:lang w:val="en-NZ"/>
              </w:rPr>
            </w:pPr>
            <w:r w:rsidRPr="00DC6689">
              <w:rPr>
                <w:rStyle w:val="SpecialBold"/>
              </w:rPr>
              <w:t>Shut down heavy recovery ancillary equipment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689">
            <w:pPr>
              <w:pStyle w:val="BodyText"/>
              <w:rPr>
                <w:lang w:val="en-NZ"/>
              </w:rPr>
            </w:pPr>
            <w:r w:rsidRPr="00DC6689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689">
            <w:pPr>
              <w:pStyle w:val="BodyText"/>
              <w:rPr>
                <w:lang w:val="en-NZ"/>
              </w:rPr>
            </w:pPr>
            <w:r w:rsidRPr="00DC6689">
              <w:t>Shut-down procedures for equipment are completed in ac</w:t>
            </w:r>
            <w:r w:rsidRPr="00DC6689">
              <w:t>cordance with organisational requirements and manufacturer specifications</w:t>
            </w:r>
          </w:p>
        </w:tc>
      </w:tr>
      <w:tr w:rsidTr="007A33D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689">
            <w:pPr>
              <w:pStyle w:val="BodyText"/>
              <w:rPr>
                <w:lang w:val="en-NZ"/>
              </w:rPr>
            </w:pPr>
            <w:r w:rsidRPr="00DC6689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689">
            <w:pPr>
              <w:pStyle w:val="BodyText"/>
              <w:rPr>
                <w:lang w:val="en-NZ"/>
              </w:rPr>
            </w:pPr>
            <w:r w:rsidRPr="00DC6689">
              <w:t>Routine maintenance of equipment is carried out in accordance with organisational requirements and manufacturer specifications</w:t>
            </w:r>
          </w:p>
        </w:tc>
      </w:tr>
      <w:tr w:rsidTr="007A33D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689">
            <w:pPr>
              <w:pStyle w:val="BodyText"/>
              <w:rPr>
                <w:lang w:val="en-NZ"/>
              </w:rPr>
            </w:pPr>
            <w:r w:rsidRPr="00DC6689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689">
            <w:pPr>
              <w:pStyle w:val="BodyText"/>
              <w:rPr>
                <w:lang w:val="en-NZ"/>
              </w:rPr>
            </w:pPr>
            <w:r w:rsidRPr="00DC6689">
              <w:t>Equipment is stored and secured in accordance with organisational requirements</w:t>
            </w:r>
          </w:p>
        </w:tc>
      </w:tr>
      <w:tr w:rsidTr="007A33D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689">
            <w:pPr>
              <w:pStyle w:val="BodyText"/>
              <w:rPr>
                <w:lang w:val="en-NZ"/>
              </w:rPr>
            </w:pPr>
            <w:r w:rsidRPr="00DC6689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689" w:rsidP="00DC6689">
            <w:pPr>
              <w:pStyle w:val="BodyText"/>
            </w:pPr>
            <w:r w:rsidRPr="00DC6689">
              <w:t>Malfunctions, faults, irregular performance and damage to equipment are detailed and reported in accordance with organisational requirements</w:t>
            </w:r>
          </w:p>
        </w:tc>
      </w:tr>
    </w:tbl>
    <w:p w:rsidR="007A33D7" w:rsidP="00DC6689">
      <w:pPr>
        <w:pStyle w:val="BodyText"/>
      </w:pPr>
    </w:p>
    <w:p w:rsidR="007A33D7" w:rsidP="00DC6689">
      <w:pPr>
        <w:pStyle w:val="BodyText"/>
      </w:pPr>
    </w:p>
    <w:p w:rsidR="00000000" w:rsidRPr="00DC6689" w:rsidP="00DC6689">
      <w:pPr>
        <w:pStyle w:val="Heading1"/>
      </w:pPr>
      <w:bookmarkStart w:id="7" w:name="O_842283"/>
      <w:bookmarkEnd w:id="7"/>
      <w:r w:rsidRPr="00DC6689">
        <w:t>Foundation Skills</w:t>
      </w:r>
    </w:p>
    <w:p w:rsidR="007A33D7" w:rsidP="007A33D7">
      <w:pPr>
        <w:pStyle w:val="BodyText"/>
      </w:pPr>
      <w:r w:rsidRPr="00DC6689">
        <w:t>Foundation skills essential to performance are explicit in the performance criteria of this unit of competency.</w:t>
      </w:r>
    </w:p>
    <w:p w:rsidR="00000000" w:rsidRPr="00DC6689" w:rsidP="00DC6689">
      <w:pPr>
        <w:pStyle w:val="Heading1"/>
      </w:pPr>
      <w:bookmarkStart w:id="8" w:name="O_842284"/>
      <w:bookmarkEnd w:id="8"/>
      <w:r w:rsidRPr="00DC6689">
        <w:t>Range of Conditions</w:t>
      </w:r>
    </w:p>
    <w:p w:rsidR="00000000" w:rsidRPr="00DC6689" w:rsidP="007A33D7">
      <w:pPr>
        <w:pStyle w:val="BodyText"/>
      </w:pPr>
      <w:r w:rsidRPr="00DC6689">
        <w:t xml:space="preserve">Range is restricted to essential operating conditions and any other variables essential </w:t>
      </w:r>
      <w:r w:rsidRPr="00DC6689">
        <w:t>to the work environment.</w:t>
      </w:r>
    </w:p>
    <w:p w:rsidR="007A33D7" w:rsidP="007A33D7">
      <w:pPr>
        <w:pStyle w:val="BodyText"/>
      </w:pPr>
      <w:r w:rsidRPr="00DC6689">
        <w:t>Non-essential conditions can be found in the Companion Volume Implementation Guide.</w:t>
      </w:r>
    </w:p>
    <w:p w:rsidR="00000000" w:rsidRPr="00DC6689" w:rsidP="00DC6689">
      <w:pPr>
        <w:pStyle w:val="Heading1"/>
      </w:pPr>
      <w:bookmarkStart w:id="9" w:name="O_842285"/>
      <w:bookmarkEnd w:id="9"/>
      <w:r w:rsidRPr="00DC6689">
        <w:t>Unit Mapping Information</w:t>
      </w:r>
    </w:p>
    <w:p w:rsidR="007A33D7" w:rsidP="007A33D7">
      <w:pPr>
        <w:pStyle w:val="BodyText"/>
      </w:pPr>
      <w:r w:rsidRPr="00DC6689">
        <w:t>This unit replaces and is equivalent to TLIC4068A Operate heavy recovery ancillary equipment.</w:t>
      </w:r>
    </w:p>
    <w:p w:rsidR="00000000" w:rsidRPr="00DC6689" w:rsidP="00DC6689">
      <w:pPr>
        <w:pStyle w:val="Heading1"/>
      </w:pPr>
      <w:bookmarkStart w:id="10" w:name="O_842292"/>
      <w:bookmarkEnd w:id="10"/>
      <w:r w:rsidRPr="00DC6689">
        <w:t>Links</w:t>
      </w:r>
    </w:p>
    <w:p w:rsidR="00000000" w:rsidRPr="00DC6689" w:rsidP="007A33D7">
      <w:pPr>
        <w:pStyle w:val="BodyText"/>
      </w:pPr>
      <w:r w:rsidRPr="00DC66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D5EA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C6689" w:rsidP="00DC6689"/>
    <w:sectPr w:rsidSect="00DC668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6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689" w:rsidRPr="007A33D7" w:rsidP="007A33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6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3D7" w:rsidP="00DC66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33D7" w:rsidP="00DC66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A33D7" w:rsidP="00DC66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6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3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6689" w:rsidRPr="007A33D7" w:rsidP="007A33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6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3D7" w:rsidRPr="002D2AF8" w:rsidP="00DC66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TLIC4068 Operate heavy recovery ancillary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7A33D7" w:rsidP="00DC66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66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66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66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66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66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66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66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66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66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66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66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6689"/>
  </w:style>
  <w:style w:type="character" w:customStyle="1" w:styleId="Heading1Char">
    <w:name w:val="Heading 1 Char"/>
    <w:basedOn w:val="DefaultParagraphFont"/>
    <w:link w:val="Heading1"/>
    <w:rsid w:val="00DC66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66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668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C6689"/>
    <w:rPr>
      <w:b/>
      <w:spacing w:val="0"/>
    </w:rPr>
  </w:style>
  <w:style w:type="paragraph" w:customStyle="1" w:styleId="SuperHeading">
    <w:name w:val="SuperHeading"/>
    <w:basedOn w:val="Normal"/>
    <w:rsid w:val="00DC66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66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66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66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66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66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66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66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66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66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66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66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66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66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66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66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66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66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66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66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668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C668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C66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66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66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66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668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66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66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66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66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66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66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66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66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66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6689"/>
    <w:rPr>
      <w:i/>
    </w:rPr>
  </w:style>
  <w:style w:type="paragraph" w:styleId="Caption">
    <w:name w:val="caption"/>
    <w:basedOn w:val="BodyText"/>
    <w:next w:val="Normal"/>
    <w:qFormat/>
    <w:rsid w:val="00DC66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66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66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6689"/>
  </w:style>
  <w:style w:type="paragraph" w:styleId="TableofFigures">
    <w:name w:val="table of figures"/>
    <w:basedOn w:val="Normal"/>
    <w:next w:val="Normal"/>
    <w:semiHidden/>
    <w:rsid w:val="00DC66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668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C6689"/>
    <w:rPr>
      <w:rFonts w:ascii="Wingdings" w:hAnsi="Wingdings"/>
    </w:rPr>
  </w:style>
  <w:style w:type="paragraph" w:customStyle="1" w:styleId="TableHeading">
    <w:name w:val="Table Heading"/>
    <w:basedOn w:val="HeadingBase"/>
    <w:rsid w:val="00DC66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6689"/>
    <w:rPr>
      <w:color w:val="0033CC"/>
      <w:u w:val="none"/>
    </w:rPr>
  </w:style>
  <w:style w:type="paragraph" w:customStyle="1" w:styleId="BodyTextRight">
    <w:name w:val="Body Text Right"/>
    <w:basedOn w:val="BodyText"/>
    <w:rsid w:val="00DC66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66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668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66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66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66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6689"/>
    <w:rPr>
      <w:sz w:val="32"/>
    </w:rPr>
  </w:style>
  <w:style w:type="paragraph" w:customStyle="1" w:styleId="HeadingProcedure">
    <w:name w:val="Heading Procedure"/>
    <w:basedOn w:val="HeadingBase"/>
    <w:next w:val="Normal"/>
    <w:rsid w:val="00DC66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6689"/>
    <w:pPr>
      <w:spacing w:before="60" w:after="60"/>
    </w:pPr>
  </w:style>
  <w:style w:type="paragraph" w:styleId="ListContinue">
    <w:name w:val="List Continue"/>
    <w:basedOn w:val="List"/>
    <w:rsid w:val="00DC6689"/>
    <w:pPr>
      <w:ind w:firstLine="0"/>
    </w:pPr>
  </w:style>
  <w:style w:type="paragraph" w:customStyle="1" w:styleId="ListNote">
    <w:name w:val="List Note"/>
    <w:basedOn w:val="List"/>
    <w:rsid w:val="00DC66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66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66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6689"/>
    <w:rPr>
      <w:rFonts w:ascii="Courier New" w:hAnsi="Courier New"/>
    </w:rPr>
  </w:style>
  <w:style w:type="paragraph" w:customStyle="1" w:styleId="NoteBullet">
    <w:name w:val="Note Bullet"/>
    <w:basedOn w:val="Note"/>
    <w:rsid w:val="00DC66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66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66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66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668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C66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66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6689"/>
    <w:rPr>
      <w:b/>
      <w:smallCaps/>
    </w:rPr>
  </w:style>
  <w:style w:type="paragraph" w:customStyle="1" w:styleId="TableListNumber">
    <w:name w:val="Table List Number"/>
    <w:basedOn w:val="ListNumber"/>
    <w:rsid w:val="00DC66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66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6689"/>
    <w:pPr>
      <w:numPr>
        <w:numId w:val="7"/>
      </w:numPr>
    </w:pPr>
  </w:style>
  <w:style w:type="paragraph" w:customStyle="1" w:styleId="ListAlpha2">
    <w:name w:val="List Alpha 2"/>
    <w:basedOn w:val="List2"/>
    <w:rsid w:val="00DC6689"/>
    <w:pPr>
      <w:numPr>
        <w:numId w:val="6"/>
      </w:numPr>
    </w:pPr>
  </w:style>
  <w:style w:type="paragraph" w:styleId="List2">
    <w:name w:val="List 2"/>
    <w:basedOn w:val="BodyText"/>
    <w:rsid w:val="00DC66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66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66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66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668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668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C6689"/>
    <w:pPr>
      <w:numPr>
        <w:numId w:val="2"/>
      </w:numPr>
    </w:pPr>
  </w:style>
  <w:style w:type="paragraph" w:styleId="ListContinue2">
    <w:name w:val="List Continue 2"/>
    <w:basedOn w:val="List2"/>
    <w:rsid w:val="00DC6689"/>
    <w:pPr>
      <w:ind w:firstLine="0"/>
    </w:pPr>
  </w:style>
  <w:style w:type="paragraph" w:styleId="ListContinue3">
    <w:name w:val="List Continue 3"/>
    <w:basedOn w:val="List3"/>
    <w:rsid w:val="00DC6689"/>
    <w:pPr>
      <w:ind w:left="1021" w:firstLine="0"/>
    </w:pPr>
  </w:style>
  <w:style w:type="paragraph" w:styleId="ListContinue4">
    <w:name w:val="List Continue 4"/>
    <w:basedOn w:val="List4"/>
    <w:rsid w:val="00DC6689"/>
    <w:pPr>
      <w:ind w:firstLine="0"/>
    </w:pPr>
  </w:style>
  <w:style w:type="paragraph" w:styleId="ListContinue5">
    <w:name w:val="List Continue 5"/>
    <w:basedOn w:val="List5"/>
    <w:rsid w:val="00DC6689"/>
    <w:pPr>
      <w:ind w:firstLine="0"/>
    </w:pPr>
  </w:style>
  <w:style w:type="paragraph" w:styleId="ListNumber3">
    <w:name w:val="List Number 3"/>
    <w:basedOn w:val="List3"/>
    <w:rsid w:val="00DC6689"/>
    <w:pPr>
      <w:numPr>
        <w:numId w:val="3"/>
      </w:numPr>
    </w:pPr>
  </w:style>
  <w:style w:type="paragraph" w:styleId="ListNumber4">
    <w:name w:val="List Number 4"/>
    <w:basedOn w:val="List4"/>
    <w:rsid w:val="00DC6689"/>
    <w:pPr>
      <w:numPr>
        <w:numId w:val="4"/>
      </w:numPr>
    </w:pPr>
  </w:style>
  <w:style w:type="paragraph" w:styleId="ListNumber5">
    <w:name w:val="List Number 5"/>
    <w:basedOn w:val="List5"/>
    <w:rsid w:val="00DC6689"/>
    <w:pPr>
      <w:numPr>
        <w:numId w:val="5"/>
      </w:numPr>
    </w:pPr>
  </w:style>
  <w:style w:type="paragraph" w:styleId="BlockText">
    <w:name w:val="Block Text"/>
    <w:basedOn w:val="Normal"/>
    <w:rsid w:val="00DC66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66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6689"/>
    <w:rPr>
      <w:sz w:val="16"/>
      <w:vertAlign w:val="superscript"/>
    </w:rPr>
  </w:style>
  <w:style w:type="character" w:customStyle="1" w:styleId="Symbols">
    <w:name w:val="Symbols"/>
    <w:basedOn w:val="DefaultParagraphFont"/>
    <w:rsid w:val="00DC6689"/>
    <w:rPr>
      <w:rFonts w:ascii="Symbol" w:hAnsi="Symbol"/>
    </w:rPr>
  </w:style>
  <w:style w:type="character" w:customStyle="1" w:styleId="MenuOptions">
    <w:name w:val="Menu Options"/>
    <w:basedOn w:val="DefaultParagraphFont"/>
    <w:rsid w:val="00DC66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6689"/>
    <w:rPr>
      <w:b/>
    </w:rPr>
  </w:style>
  <w:style w:type="character" w:customStyle="1" w:styleId="Underlined">
    <w:name w:val="Underlined"/>
    <w:basedOn w:val="DefaultParagraphFont"/>
    <w:rsid w:val="00DC6689"/>
    <w:rPr>
      <w:u w:val="single"/>
    </w:rPr>
  </w:style>
  <w:style w:type="paragraph" w:customStyle="1" w:styleId="TableBodyTextRight">
    <w:name w:val="Table Body Text Right"/>
    <w:basedOn w:val="TableBodyText"/>
    <w:rsid w:val="00DC66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6689"/>
    <w:rPr>
      <w:sz w:val="18"/>
    </w:rPr>
  </w:style>
  <w:style w:type="paragraph" w:customStyle="1" w:styleId="BodySmallRight">
    <w:name w:val="Body Small Right"/>
    <w:basedOn w:val="BodyTextRight"/>
    <w:rsid w:val="00DC6689"/>
    <w:rPr>
      <w:sz w:val="18"/>
      <w:szCs w:val="18"/>
    </w:rPr>
  </w:style>
  <w:style w:type="paragraph" w:customStyle="1" w:styleId="MarginEdition">
    <w:name w:val="Margin Edition"/>
    <w:basedOn w:val="MarginNote"/>
    <w:rsid w:val="00DC66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6689"/>
    <w:rPr>
      <w:sz w:val="2"/>
      <w:szCs w:val="2"/>
    </w:rPr>
  </w:style>
  <w:style w:type="character" w:customStyle="1" w:styleId="Small">
    <w:name w:val="Small"/>
    <w:basedOn w:val="DefaultParagraphFont"/>
    <w:rsid w:val="00DC6689"/>
    <w:rPr>
      <w:sz w:val="16"/>
    </w:rPr>
  </w:style>
  <w:style w:type="paragraph" w:customStyle="1" w:styleId="WideTable">
    <w:name w:val="Wide Table"/>
    <w:basedOn w:val="Normal"/>
    <w:rsid w:val="00DC66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6689"/>
  </w:style>
  <w:style w:type="paragraph" w:styleId="Quote">
    <w:name w:val="Quote"/>
    <w:basedOn w:val="Heading1"/>
    <w:link w:val="QuoteChar"/>
    <w:qFormat/>
    <w:rsid w:val="00DC66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66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6689"/>
    <w:pPr>
      <w:pageBreakBefore/>
    </w:pPr>
  </w:style>
  <w:style w:type="paragraph" w:customStyle="1" w:styleId="Border">
    <w:name w:val="Border"/>
    <w:basedOn w:val="Normal"/>
    <w:qFormat/>
    <w:rsid w:val="00DC66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66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66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66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66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66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66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66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66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6689"/>
    <w:rPr>
      <w:u w:val="single"/>
    </w:rPr>
  </w:style>
  <w:style w:type="character" w:customStyle="1" w:styleId="BoldandItalics">
    <w:name w:val="Bold and Italics"/>
    <w:qFormat/>
    <w:rsid w:val="00DC6689"/>
    <w:rPr>
      <w:b/>
      <w:i/>
      <w:u w:val="none"/>
    </w:rPr>
  </w:style>
  <w:style w:type="paragraph" w:styleId="BalloonText">
    <w:name w:val="Balloon Text"/>
    <w:basedOn w:val="Normal"/>
    <w:link w:val="BalloonTextChar"/>
    <w:rsid w:val="00DC66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66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66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66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66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66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6689"/>
    <w:pPr>
      <w:spacing w:before="0" w:after="0"/>
    </w:pPr>
  </w:style>
  <w:style w:type="paragraph" w:customStyle="1" w:styleId="BodyTextBold">
    <w:name w:val="Body Text Bold"/>
    <w:basedOn w:val="BodyText"/>
    <w:qFormat/>
    <w:rsid w:val="00DC6689"/>
    <w:rPr>
      <w:b/>
    </w:rPr>
  </w:style>
  <w:style w:type="character" w:styleId="Hyperlink">
    <w:name w:val="Hyperlink"/>
    <w:basedOn w:val="DefaultParagraphFont"/>
    <w:uiPriority w:val="99"/>
    <w:unhideWhenUsed/>
    <w:rsid w:val="007A33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563</Words>
  <Characters>3755</Characters>
  <Application>Microsoft Office Word</Application>
  <DocSecurity>0</DocSecurity>
  <Lines>170</Lines>
  <Paragraphs>86</Paragraphs>
  <ScaleCrop>false</ScaleCrop>
  <Company>Author-it Software Corporation Ltd.</Company>
  <LinksUpToDate>false</LinksUpToDate>
  <CharactersWithSpaces>4232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TLIC4068 Operate heavy recovery ancillary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2021-04-12T02:45:00Z</dcterms:created>
  <dcterms:modified xsi:type="dcterms:W3CDTF">2021-04-12T02:45:00Z</dcterms:modified>
</cp:coreProperties>
</file>