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961" w:rsidP="00645961">
      <w:pPr>
        <w:pStyle w:val="Title"/>
      </w:pPr>
      <w:r>
        <w:fldChar w:fldCharType="begin"/>
      </w:r>
      <w:r>
        <w:instrText xml:space="preserve"> TITLE   \* MERGEFORMAT </w:instrText>
      </w:r>
      <w:r>
        <w:fldChar w:fldCharType="separate"/>
      </w:r>
      <w:r>
        <w:t>Assessment Requirements for TLIC4068 Operate heavy recovery ancillary equipment</w:t>
      </w:r>
      <w:r>
        <w:fldChar w:fldCharType="end"/>
      </w:r>
    </w:p>
    <w:p w:rsidR="00645961" w:rsidP="00645961">
      <w:pPr>
        <w:pStyle w:val="Version"/>
        <w:sectPr w:rsidSect="00B118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180A" w:rsidP="00B1180A">
      <w:pPr>
        <w:pStyle w:val="SuperHeading"/>
      </w:pPr>
      <w:r w:rsidRPr="00B1180A">
        <w:t>Assessment Requirements for TLIC4</w:t>
      </w:r>
      <w:r w:rsidRPr="00B1180A">
        <w:t>068 Operate heavy recovery ancillary equipment</w:t>
      </w:r>
    </w:p>
    <w:p w:rsidR="00000000" w:rsidRPr="00B1180A" w:rsidP="00B1180A">
      <w:pPr>
        <w:pStyle w:val="Heading1"/>
      </w:pPr>
      <w:bookmarkStart w:id="1" w:name="O_842287"/>
      <w:bookmarkEnd w:id="1"/>
      <w:r w:rsidRPr="00B1180A">
        <w:t>Modification History</w:t>
      </w:r>
    </w:p>
    <w:p w:rsidR="00645961" w:rsidP="00645961">
      <w:pPr>
        <w:pStyle w:val="BodyText"/>
      </w:pPr>
      <w:r w:rsidRPr="00B1180A">
        <w:t>Release 1. This is the first release of this unit of competency in the TLI Transport and Logistics Training Package.</w:t>
      </w:r>
    </w:p>
    <w:p w:rsidR="00000000" w:rsidRPr="00B1180A" w:rsidP="00B1180A">
      <w:pPr>
        <w:pStyle w:val="Heading1"/>
      </w:pPr>
      <w:bookmarkStart w:id="2" w:name="O_842288"/>
      <w:bookmarkEnd w:id="2"/>
      <w:r w:rsidRPr="00B1180A">
        <w:t>Performance Evidence</w:t>
      </w:r>
    </w:p>
    <w:tbl>
      <w:tblPr>
        <w:tblW w:w="9498" w:type="dxa"/>
        <w:tblLayout w:type="fixed"/>
        <w:tblCellMar>
          <w:left w:w="62" w:type="dxa"/>
          <w:right w:w="62" w:type="dxa"/>
        </w:tblCellMar>
        <w:tblLook w:val="0000"/>
      </w:tblPr>
      <w:tblGrid>
        <w:gridCol w:w="9498"/>
      </w:tblGrid>
      <w:tr w:rsidTr="00B1180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1180A">
            <w:pPr>
              <w:pStyle w:val="BodyText"/>
              <w:rPr>
                <w:lang w:val="en-NZ"/>
              </w:rPr>
            </w:pPr>
            <w:r w:rsidRPr="00B1180A">
              <w:t>Evidence required to demonstrate competence in this unit must be relevant to and satisfy all of the requirements of the elements and performance criteria on at least two occasions and include:</w:t>
            </w:r>
          </w:p>
        </w:tc>
      </w:tr>
      <w:tr w:rsidTr="00B1180A">
        <w:tblPrEx>
          <w:tblW w:w="9498" w:type="dxa"/>
          <w:tblLayout w:type="fixed"/>
          <w:tblCellMar>
            <w:left w:w="62" w:type="dxa"/>
            <w:right w:w="62" w:type="dxa"/>
          </w:tblCellMar>
          <w:tblLook w:val="0000"/>
        </w:tblPrEx>
        <w:trPr>
          <w:trHeight w:val="1543"/>
        </w:trPr>
        <w:tc>
          <w:tcPr>
            <w:tcW w:w="9498" w:type="dxa"/>
            <w:tcBorders>
              <w:top w:val="nil"/>
              <w:left w:val="nil"/>
              <w:bottom w:val="nil"/>
              <w:right w:val="nil"/>
            </w:tcBorders>
            <w:tcMar>
              <w:top w:w="0" w:type="dxa"/>
              <w:left w:w="62" w:type="dxa"/>
              <w:bottom w:w="0" w:type="dxa"/>
              <w:right w:w="62" w:type="dxa"/>
            </w:tcMar>
          </w:tcPr>
          <w:p w:rsidR="00000000" w:rsidRPr="00B1180A" w:rsidP="00B1180A">
            <w:pPr>
              <w:pStyle w:val="ListBullet"/>
            </w:pPr>
            <w:r w:rsidRPr="00B1180A">
              <w:t xml:space="preserve">completing relevant documentation </w:t>
            </w:r>
          </w:p>
          <w:p w:rsidR="00000000" w:rsidRPr="00B1180A" w:rsidP="00B1180A">
            <w:pPr>
              <w:pStyle w:val="ListBullet"/>
            </w:pPr>
            <w:r w:rsidRPr="00B1180A">
              <w:t>implementing contingency p</w:t>
            </w:r>
            <w:r w:rsidRPr="00B1180A">
              <w:t xml:space="preserve">lans </w:t>
            </w:r>
          </w:p>
          <w:p w:rsidR="00000000" w:rsidRPr="00B1180A" w:rsidP="00B1180A">
            <w:pPr>
              <w:pStyle w:val="ListBullet"/>
            </w:pPr>
            <w:r w:rsidRPr="00B1180A">
              <w:t>interpreting and following operational instructions and prioritising work</w:t>
            </w:r>
          </w:p>
          <w:p w:rsidR="00000000" w:rsidRPr="00B1180A" w:rsidP="00B1180A">
            <w:pPr>
              <w:pStyle w:val="ListBullet"/>
            </w:pPr>
            <w:r w:rsidRPr="00B1180A">
              <w:t>operating heavy recovery ancillary equipment</w:t>
            </w:r>
          </w:p>
          <w:p w:rsidR="00000000" w:rsidRPr="00B1180A" w:rsidP="00B1180A">
            <w:pPr>
              <w:pStyle w:val="ListBullet"/>
            </w:pPr>
            <w:r w:rsidRPr="00B1180A">
              <w:t>reading and interpreting relevant instructions, procedures, information and signs.</w:t>
            </w:r>
          </w:p>
        </w:tc>
      </w:tr>
    </w:tbl>
    <w:p w:rsidR="00645961" w:rsidP="00B1180A">
      <w:pPr>
        <w:pStyle w:val="BodyText"/>
      </w:pPr>
    </w:p>
    <w:p w:rsidR="00645961" w:rsidP="00B1180A">
      <w:pPr>
        <w:pStyle w:val="BodyText"/>
      </w:pPr>
    </w:p>
    <w:p w:rsidR="00000000" w:rsidRPr="00B1180A" w:rsidP="00B1180A">
      <w:pPr>
        <w:pStyle w:val="Heading1"/>
      </w:pPr>
      <w:bookmarkStart w:id="3" w:name="O_842289"/>
      <w:bookmarkEnd w:id="3"/>
      <w:r w:rsidRPr="00B1180A">
        <w:t>Knowledge Evidence</w:t>
      </w:r>
    </w:p>
    <w:tbl>
      <w:tblPr>
        <w:tblW w:w="9498" w:type="dxa"/>
        <w:tblLayout w:type="fixed"/>
        <w:tblCellMar>
          <w:left w:w="62" w:type="dxa"/>
          <w:right w:w="62" w:type="dxa"/>
        </w:tblCellMar>
        <w:tblLook w:val="0000"/>
      </w:tblPr>
      <w:tblGrid>
        <w:gridCol w:w="9498"/>
      </w:tblGrid>
      <w:tr w:rsidTr="00B1180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1180A">
            <w:pPr>
              <w:pStyle w:val="BodyText"/>
              <w:rPr>
                <w:lang w:val="en-NZ"/>
              </w:rPr>
            </w:pPr>
            <w:r w:rsidRPr="00B1180A">
              <w:t>Evidence required to demonstrate competence in this unit must be relevant to and satisfy all of the requirements of the elements and performance criteria and include knowledge of:</w:t>
            </w:r>
          </w:p>
        </w:tc>
      </w:tr>
      <w:tr w:rsidTr="00B1180A">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B1180A" w:rsidP="00B1180A">
            <w:pPr>
              <w:pStyle w:val="ListBullet"/>
            </w:pPr>
            <w:r w:rsidRPr="00B1180A">
              <w:t>factors that may cause traffic delays and diversions</w:t>
            </w:r>
          </w:p>
          <w:p w:rsidR="00000000" w:rsidRPr="00B1180A" w:rsidP="00B1180A">
            <w:pPr>
              <w:pStyle w:val="ListBullet"/>
            </w:pPr>
            <w:r w:rsidRPr="00B1180A">
              <w:t>manufacturer specific</w:t>
            </w:r>
            <w:r w:rsidRPr="00B1180A">
              <w:t>ations and operator manuals</w:t>
            </w:r>
          </w:p>
          <w:p w:rsidR="00000000" w:rsidRPr="00B1180A" w:rsidP="00B1180A">
            <w:pPr>
              <w:pStyle w:val="ListBullet"/>
            </w:pPr>
            <w:r w:rsidRPr="00B1180A">
              <w:t>relevant dangerous goods information for operating ancillary equipment</w:t>
            </w:r>
          </w:p>
          <w:p w:rsidR="00000000" w:rsidRPr="00B1180A" w:rsidP="00B1180A">
            <w:pPr>
              <w:pStyle w:val="ListBullet"/>
            </w:pPr>
            <w:r w:rsidRPr="00B1180A">
              <w:t xml:space="preserve">relevant state/territory roads and traffic authority road rules, regulations, permit and licence requirements </w:t>
            </w:r>
          </w:p>
          <w:p w:rsidR="00000000" w:rsidRPr="00B1180A" w:rsidP="00B1180A">
            <w:pPr>
              <w:pStyle w:val="ListBullet"/>
            </w:pPr>
            <w:r w:rsidRPr="00B1180A">
              <w:t xml:space="preserve">relevant work health and safety (WHS)/occupational health and safety (OHS) and environmental procedures and regulations </w:t>
            </w:r>
          </w:p>
          <w:p w:rsidR="00000000" w:rsidRPr="00B1180A" w:rsidP="00B1180A">
            <w:pPr>
              <w:pStyle w:val="ListBullet"/>
            </w:pPr>
            <w:r w:rsidRPr="00B1180A">
              <w:t xml:space="preserve">workplace documentation </w:t>
            </w:r>
          </w:p>
          <w:p w:rsidR="00000000" w:rsidRPr="00B1180A" w:rsidP="00B1180A">
            <w:pPr>
              <w:pStyle w:val="ListBullet"/>
            </w:pPr>
            <w:r w:rsidRPr="00B1180A">
              <w:t>workplace driving and operational instructions.</w:t>
            </w:r>
          </w:p>
        </w:tc>
      </w:tr>
    </w:tbl>
    <w:p w:rsidR="00645961" w:rsidP="00B1180A">
      <w:pPr>
        <w:pStyle w:val="BodyText"/>
      </w:pPr>
    </w:p>
    <w:p w:rsidR="00645961" w:rsidP="00B1180A">
      <w:pPr>
        <w:pStyle w:val="BodyText"/>
      </w:pPr>
    </w:p>
    <w:p w:rsidR="00000000" w:rsidRPr="00B1180A" w:rsidP="00B1180A">
      <w:pPr>
        <w:pStyle w:val="Heading1"/>
      </w:pPr>
      <w:bookmarkStart w:id="4" w:name="O_842290"/>
      <w:bookmarkEnd w:id="4"/>
      <w:r w:rsidRPr="00B1180A">
        <w:t>Assessment Conditions</w:t>
      </w:r>
    </w:p>
    <w:tbl>
      <w:tblPr>
        <w:tblW w:w="9498" w:type="dxa"/>
        <w:tblLayout w:type="fixed"/>
        <w:tblCellMar>
          <w:left w:w="62" w:type="dxa"/>
          <w:right w:w="62" w:type="dxa"/>
        </w:tblCellMar>
        <w:tblLook w:val="0000"/>
      </w:tblPr>
      <w:tblGrid>
        <w:gridCol w:w="9498"/>
      </w:tblGrid>
      <w:tr w:rsidTr="00B1180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1180A" w:rsidP="00B1180A">
            <w:pPr>
              <w:pStyle w:val="BodyText"/>
            </w:pPr>
            <w:r w:rsidRPr="00B1180A">
              <w:t>As a minimum, assess</w:t>
            </w:r>
            <w:r w:rsidRPr="00B1180A">
              <w:t xml:space="preserve">ors must satisfy applicable regulatory requirements, which include requirements in the </w:t>
            </w:r>
            <w:r w:rsidRPr="00B1180A">
              <w:rPr>
                <w:rStyle w:val="Emphasis"/>
              </w:rPr>
              <w:t>Standards for Registered Training Organisations</w:t>
            </w:r>
            <w:r w:rsidRPr="00B1180A">
              <w:t xml:space="preserve"> current at the time of assessment. </w:t>
            </w:r>
          </w:p>
          <w:p w:rsidR="00000000" w:rsidRPr="00B1180A" w:rsidP="00B1180A">
            <w:pPr>
              <w:pStyle w:val="BodyText"/>
            </w:pPr>
            <w:r w:rsidRPr="00B1180A">
              <w:t>As a minimum, assessment must satisfy applicable regulatory requirements, which inclu</w:t>
            </w:r>
            <w:r w:rsidRPr="00B1180A">
              <w:t xml:space="preserve">de requirements in the </w:t>
            </w:r>
            <w:r w:rsidRPr="00B1180A">
              <w:rPr>
                <w:rStyle w:val="Emphasis"/>
              </w:rPr>
              <w:t>Standards for Registered Training Organisations</w:t>
            </w:r>
            <w:r w:rsidRPr="00B1180A">
              <w:t xml:space="preserve"> current at the time of assessment.</w:t>
            </w:r>
          </w:p>
          <w:p w:rsidR="00000000" w:rsidRPr="00B1180A" w:rsidP="00B1180A">
            <w:pPr>
              <w:pStyle w:val="BodyText"/>
            </w:pPr>
            <w:r w:rsidRPr="00B1180A">
              <w:t>Assessment must occur in workplace operational situations where it is appropriate to do so; where this is not appropriate, assessment must occur in si</w:t>
            </w:r>
            <w:r w:rsidRPr="00B1180A">
              <w:t>mulated workplace operational situations that replicate workplace conditions.</w:t>
            </w:r>
          </w:p>
          <w:p w:rsidR="00000000" w:rsidRPr="00B1180A" w:rsidP="00B1180A">
            <w:pPr>
              <w:pStyle w:val="BodyText"/>
            </w:pPr>
            <w:r w:rsidRPr="00B1180A">
              <w:t>Assessment processes and techniques must be appropriate to the language, literacy and numeracy requirements of the work being performed and the needs of the candidate.</w:t>
            </w:r>
          </w:p>
          <w:p w:rsidR="00000000" w:rsidRPr="00B1180A" w:rsidP="00B1180A">
            <w:pPr>
              <w:pStyle w:val="BodyText"/>
            </w:pPr>
            <w:r w:rsidRPr="00B1180A">
              <w:t>Candidates</w:t>
            </w:r>
            <w:r w:rsidRPr="00B1180A">
              <w:t xml:space="preserve"> are required to:</w:t>
            </w:r>
          </w:p>
          <w:p w:rsidR="00000000" w:rsidRPr="00B1180A" w:rsidP="00B1180A">
            <w:pPr>
              <w:pStyle w:val="ListBullet"/>
            </w:pPr>
            <w:r w:rsidRPr="00B1180A">
              <w:t xml:space="preserve">identify three (3) different types of ancillary recovery equipment and their uses and </w:t>
            </w:r>
          </w:p>
          <w:p w:rsidR="00000000" w:rsidRPr="00B1180A" w:rsidP="00B1180A">
            <w:pPr>
              <w:pStyle w:val="ListBullet"/>
            </w:pPr>
            <w:r w:rsidRPr="00B1180A">
              <w:t>operate two (2) types of heavy recovery ancillary equipment safely.</w:t>
            </w:r>
          </w:p>
          <w:p w:rsidR="00000000" w:rsidRPr="00B1180A" w:rsidP="00B1180A">
            <w:pPr>
              <w:pStyle w:val="BodyText"/>
            </w:pPr>
            <w:r w:rsidRPr="00B1180A">
              <w:t>Resources for assessment include:</w:t>
            </w:r>
          </w:p>
          <w:p w:rsidR="00000000" w:rsidRPr="00B1180A" w:rsidP="00B1180A">
            <w:pPr>
              <w:pStyle w:val="ListBullet"/>
            </w:pPr>
            <w:r w:rsidRPr="00B1180A">
              <w:t>a range of relevant exercises, case studies and/or simulations</w:t>
            </w:r>
          </w:p>
          <w:p w:rsidR="00000000" w:rsidRPr="00B1180A" w:rsidP="00B1180A">
            <w:pPr>
              <w:pStyle w:val="ListBullet"/>
            </w:pPr>
            <w:r w:rsidRPr="00B1180A">
              <w:t xml:space="preserve">applicable documentation including workplace procedures, regulations, codes of practice and operation manuals </w:t>
            </w:r>
          </w:p>
          <w:p w:rsidR="00000000" w:rsidRPr="00B1180A" w:rsidP="00B1180A">
            <w:pPr>
              <w:pStyle w:val="ListBullet"/>
            </w:pPr>
            <w:r w:rsidRPr="00B1180A">
              <w:t>relevant materials, tools, equipment and personal protective equipment currently u</w:t>
            </w:r>
            <w:r w:rsidRPr="00B1180A">
              <w:t>sed in industry.</w:t>
            </w:r>
          </w:p>
        </w:tc>
      </w:tr>
    </w:tbl>
    <w:p w:rsidR="00645961" w:rsidP="00B1180A">
      <w:pPr>
        <w:pStyle w:val="BodyText"/>
      </w:pPr>
    </w:p>
    <w:p w:rsidR="00645961" w:rsidP="00B1180A">
      <w:pPr>
        <w:pStyle w:val="BodyText"/>
      </w:pPr>
    </w:p>
    <w:p w:rsidR="00000000" w:rsidRPr="00B1180A" w:rsidP="00B1180A">
      <w:pPr>
        <w:pStyle w:val="Heading1"/>
      </w:pPr>
      <w:bookmarkStart w:id="5" w:name="O_842293"/>
      <w:bookmarkEnd w:id="5"/>
      <w:r w:rsidRPr="00B1180A">
        <w:t>Links</w:t>
      </w:r>
    </w:p>
    <w:p w:rsidR="00000000" w:rsidRPr="00B1180A" w:rsidP="00645961">
      <w:pPr>
        <w:pStyle w:val="BodyText"/>
      </w:pPr>
      <w:r w:rsidRPr="00B1180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74A01">
        <w:rPr>
          <w:rStyle w:val="Hyperlink"/>
        </w:rPr>
        <w:t>https://vetnet.gov.au/Pages/TrainingDocs.aspx?q=df441c6e-213d-43e3-874c-0b3f7036d851</w:t>
      </w:r>
      <w:r>
        <w:fldChar w:fldCharType="end"/>
      </w:r>
    </w:p>
    <w:p w:rsidR="00000000" w:rsidRPr="00B1180A" w:rsidP="00B1180A"/>
    <w:sectPr w:rsidSect="00B118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0A" w:rsidRPr="00645961" w:rsidP="00645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61" w:rsidP="00B11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5961" w:rsidP="00B1180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5961" w:rsidP="00B11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180A" w:rsidRPr="00645961" w:rsidP="00645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961" w:rsidRPr="002D2AF8" w:rsidP="00B1180A">
    <w:pPr>
      <w:pStyle w:val="Header"/>
      <w:framePr w:wrap="around"/>
    </w:pPr>
    <w:r>
      <w:fldChar w:fldCharType="begin"/>
    </w:r>
    <w:r>
      <w:instrText xml:space="preserve"> TITLE   \* MERGEFORMAT </w:instrText>
    </w:r>
    <w:r>
      <w:fldChar w:fldCharType="separate"/>
    </w:r>
    <w:r>
      <w:t>Assessment Requirements for TLIC4068 Operate heavy recovery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645961" w:rsidP="00B11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62C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727A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180A"/>
    <w:pPr>
      <w:spacing w:before="360" w:after="60"/>
      <w:outlineLvl w:val="0"/>
    </w:pPr>
    <w:rPr>
      <w:sz w:val="32"/>
    </w:rPr>
  </w:style>
  <w:style w:type="paragraph" w:styleId="Heading2">
    <w:name w:val="heading 2"/>
    <w:basedOn w:val="HeadingBase"/>
    <w:next w:val="BodyText"/>
    <w:link w:val="Heading2Char"/>
    <w:qFormat/>
    <w:rsid w:val="00B1180A"/>
    <w:pPr>
      <w:keepLines/>
      <w:spacing w:before="240" w:after="120"/>
      <w:outlineLvl w:val="1"/>
    </w:pPr>
    <w:rPr>
      <w:sz w:val="28"/>
      <w:szCs w:val="40"/>
    </w:rPr>
  </w:style>
  <w:style w:type="paragraph" w:styleId="Heading3">
    <w:name w:val="heading 3"/>
    <w:basedOn w:val="HeadingBase"/>
    <w:next w:val="BodyText"/>
    <w:link w:val="Heading3Char"/>
    <w:qFormat/>
    <w:rsid w:val="00B1180A"/>
    <w:pPr>
      <w:spacing w:before="180" w:after="120"/>
      <w:outlineLvl w:val="2"/>
    </w:pPr>
    <w:rPr>
      <w:spacing w:val="-10"/>
      <w:kern w:val="32"/>
    </w:rPr>
  </w:style>
  <w:style w:type="paragraph" w:styleId="Heading4">
    <w:name w:val="heading 4"/>
    <w:basedOn w:val="HeadingBase"/>
    <w:next w:val="BodyText"/>
    <w:link w:val="Heading4Char"/>
    <w:qFormat/>
    <w:rsid w:val="00B1180A"/>
    <w:pPr>
      <w:spacing w:before="160" w:after="120"/>
      <w:outlineLvl w:val="3"/>
    </w:pPr>
    <w:rPr>
      <w:sz w:val="22"/>
    </w:rPr>
  </w:style>
  <w:style w:type="paragraph" w:styleId="Heading5">
    <w:name w:val="heading 5"/>
    <w:basedOn w:val="HeadingBase"/>
    <w:next w:val="Normal"/>
    <w:link w:val="Heading5Char"/>
    <w:qFormat/>
    <w:rsid w:val="00B1180A"/>
    <w:pPr>
      <w:spacing w:before="80"/>
      <w:outlineLvl w:val="4"/>
    </w:pPr>
    <w:rPr>
      <w:color w:val="918585"/>
      <w:sz w:val="20"/>
    </w:rPr>
  </w:style>
  <w:style w:type="paragraph" w:styleId="Heading6">
    <w:name w:val="heading 6"/>
    <w:basedOn w:val="HeadingBase"/>
    <w:next w:val="Normal"/>
    <w:link w:val="Heading6Char"/>
    <w:qFormat/>
    <w:rsid w:val="00B1180A"/>
    <w:pPr>
      <w:spacing w:before="60"/>
      <w:outlineLvl w:val="5"/>
    </w:pPr>
    <w:rPr>
      <w:color w:val="918585"/>
      <w:sz w:val="20"/>
    </w:rPr>
  </w:style>
  <w:style w:type="paragraph" w:styleId="Heading7">
    <w:name w:val="heading 7"/>
    <w:basedOn w:val="Normal"/>
    <w:next w:val="Normal"/>
    <w:link w:val="Heading7Char"/>
    <w:qFormat/>
    <w:rsid w:val="00B1180A"/>
    <w:pPr>
      <w:ind w:left="720"/>
      <w:outlineLvl w:val="6"/>
    </w:pPr>
    <w:rPr>
      <w:i/>
    </w:rPr>
  </w:style>
  <w:style w:type="paragraph" w:styleId="Heading8">
    <w:name w:val="heading 8"/>
    <w:basedOn w:val="Normal"/>
    <w:next w:val="Normal"/>
    <w:link w:val="Heading8Char"/>
    <w:qFormat/>
    <w:rsid w:val="00B1180A"/>
    <w:pPr>
      <w:ind w:left="720"/>
      <w:outlineLvl w:val="7"/>
    </w:pPr>
    <w:rPr>
      <w:i/>
    </w:rPr>
  </w:style>
  <w:style w:type="paragraph" w:styleId="Heading9">
    <w:name w:val="heading 9"/>
    <w:basedOn w:val="Normal"/>
    <w:next w:val="Normal"/>
    <w:link w:val="Heading9Char"/>
    <w:qFormat/>
    <w:rsid w:val="00B1180A"/>
    <w:pPr>
      <w:ind w:left="720"/>
      <w:outlineLvl w:val="8"/>
    </w:pPr>
    <w:rPr>
      <w:i/>
    </w:rPr>
  </w:style>
  <w:style w:type="character" w:default="1" w:styleId="DefaultParagraphFont">
    <w:name w:val="Default Paragraph Font"/>
    <w:uiPriority w:val="1"/>
    <w:unhideWhenUsed/>
    <w:rsid w:val="00B11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180A"/>
  </w:style>
  <w:style w:type="character" w:customStyle="1" w:styleId="Heading1Char">
    <w:name w:val="Heading 1 Char"/>
    <w:basedOn w:val="DefaultParagraphFont"/>
    <w:link w:val="Heading1"/>
    <w:rsid w:val="00B1180A"/>
    <w:rPr>
      <w:rFonts w:ascii="Times New Roman" w:eastAsia="Times New Roman" w:hAnsi="Times New Roman" w:cs="Times New Roman"/>
      <w:b/>
      <w:sz w:val="32"/>
      <w:szCs w:val="20"/>
      <w:lang w:eastAsia="en-US"/>
    </w:rPr>
  </w:style>
  <w:style w:type="paragraph" w:styleId="BodyText">
    <w:name w:val="Body Text"/>
    <w:basedOn w:val="Normal"/>
    <w:link w:val="BodyTextChar"/>
    <w:rsid w:val="00B11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180A"/>
    <w:rPr>
      <w:rFonts w:ascii="Times New Roman" w:eastAsia="Times New Roman" w:hAnsi="Times New Roman" w:cs="Times New Roman"/>
      <w:sz w:val="24"/>
      <w:lang w:eastAsia="en-US"/>
    </w:rPr>
  </w:style>
  <w:style w:type="paragraph" w:styleId="ListBullet">
    <w:name w:val="List Bullet"/>
    <w:basedOn w:val="List"/>
    <w:rsid w:val="00B1180A"/>
    <w:pPr>
      <w:numPr>
        <w:numId w:val="11"/>
      </w:numPr>
      <w:tabs>
        <w:tab w:val="clear" w:pos="340"/>
      </w:tabs>
      <w:spacing w:before="40" w:after="40"/>
    </w:pPr>
  </w:style>
  <w:style w:type="character" w:styleId="Emphasis">
    <w:name w:val="Emphasis"/>
    <w:basedOn w:val="DefaultParagraphFont"/>
    <w:qFormat/>
    <w:rsid w:val="00B1180A"/>
    <w:rPr>
      <w:i/>
    </w:rPr>
  </w:style>
  <w:style w:type="paragraph" w:customStyle="1" w:styleId="SuperHeading">
    <w:name w:val="SuperHeading"/>
    <w:basedOn w:val="Normal"/>
    <w:rsid w:val="00B1180A"/>
    <w:pPr>
      <w:spacing w:before="240" w:after="120"/>
      <w:outlineLvl w:val="0"/>
    </w:pPr>
    <w:rPr>
      <w:rFonts w:ascii="Times New Roman" w:hAnsi="Times New Roman"/>
      <w:b/>
      <w:sz w:val="32"/>
    </w:rPr>
  </w:style>
  <w:style w:type="paragraph" w:customStyle="1" w:styleId="AllowPageBreak">
    <w:name w:val="AllowPageBreak"/>
    <w:rsid w:val="00B118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1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1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1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1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1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1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1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180A"/>
    <w:rPr>
      <w:rFonts w:ascii="Courier New" w:eastAsia="Times New Roman" w:hAnsi="Courier New" w:cs="Times New Roman"/>
      <w:i/>
      <w:szCs w:val="20"/>
      <w:lang w:eastAsia="en-US"/>
    </w:rPr>
  </w:style>
  <w:style w:type="paragraph" w:customStyle="1" w:styleId="HeadingBase">
    <w:name w:val="Heading Base"/>
    <w:rsid w:val="00B11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180A"/>
    <w:pPr>
      <w:tabs>
        <w:tab w:val="right" w:leader="dot" w:pos="9072"/>
      </w:tabs>
      <w:ind w:left="567"/>
    </w:pPr>
    <w:rPr>
      <w:szCs w:val="22"/>
    </w:rPr>
  </w:style>
  <w:style w:type="paragraph" w:customStyle="1" w:styleId="TOCBase">
    <w:name w:val="TOC Base"/>
    <w:rsid w:val="00B11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180A"/>
    <w:pPr>
      <w:tabs>
        <w:tab w:val="right" w:leader="dot" w:pos="9072"/>
      </w:tabs>
      <w:spacing w:before="40" w:after="40"/>
      <w:ind w:left="284"/>
    </w:pPr>
    <w:rPr>
      <w:rFonts w:ascii="Times New Roman" w:hAnsi="Times New Roman"/>
    </w:rPr>
  </w:style>
  <w:style w:type="paragraph" w:styleId="TOC1">
    <w:name w:val="toc 1"/>
    <w:basedOn w:val="TOCBase"/>
    <w:next w:val="Normal"/>
    <w:rsid w:val="00B11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1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180A"/>
    <w:rPr>
      <w:rFonts w:ascii="Times New Roman" w:eastAsia="Times New Roman" w:hAnsi="Times New Roman" w:cs="Times New Roman"/>
      <w:sz w:val="16"/>
      <w:lang w:eastAsia="en-US"/>
    </w:rPr>
  </w:style>
  <w:style w:type="paragraph" w:styleId="Title">
    <w:name w:val="Title"/>
    <w:basedOn w:val="HeadingBase"/>
    <w:link w:val="TitleChar"/>
    <w:qFormat/>
    <w:rsid w:val="00B1180A"/>
    <w:pPr>
      <w:spacing w:before="5040"/>
      <w:jc w:val="center"/>
    </w:pPr>
    <w:rPr>
      <w:sz w:val="48"/>
      <w:szCs w:val="72"/>
      <w:lang w:val="en-US"/>
    </w:rPr>
  </w:style>
  <w:style w:type="character" w:customStyle="1" w:styleId="TitleChar">
    <w:name w:val="Title Char"/>
    <w:basedOn w:val="DefaultParagraphFont"/>
    <w:link w:val="Title"/>
    <w:rsid w:val="00B11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180A"/>
    <w:pPr>
      <w:tabs>
        <w:tab w:val="left" w:pos="3600"/>
        <w:tab w:val="left" w:pos="3958"/>
      </w:tabs>
    </w:pPr>
  </w:style>
  <w:style w:type="paragraph" w:styleId="List">
    <w:name w:val="List"/>
    <w:basedOn w:val="BodyText"/>
    <w:next w:val="BodyText"/>
    <w:rsid w:val="00B1180A"/>
    <w:pPr>
      <w:tabs>
        <w:tab w:val="left" w:pos="340"/>
      </w:tabs>
      <w:spacing w:before="60" w:after="60"/>
      <w:ind w:left="340" w:hanging="340"/>
    </w:pPr>
  </w:style>
  <w:style w:type="paragraph" w:customStyle="1" w:styleId="Note">
    <w:name w:val="Note"/>
    <w:basedOn w:val="BodyText"/>
    <w:rsid w:val="00B118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180A"/>
    <w:rPr>
      <w:b/>
      <w:spacing w:val="0"/>
    </w:rPr>
  </w:style>
  <w:style w:type="paragraph" w:customStyle="1" w:styleId="SuperTitle">
    <w:name w:val="SuperTitle"/>
    <w:basedOn w:val="Title"/>
    <w:rsid w:val="00B1180A"/>
    <w:pPr>
      <w:framePr w:wrap="auto" w:hAnchor="text" w:y="6049"/>
    </w:pPr>
    <w:rPr>
      <w:color w:val="000000"/>
      <w:sz w:val="40"/>
    </w:rPr>
  </w:style>
  <w:style w:type="paragraph" w:customStyle="1" w:styleId="TOCTitle">
    <w:name w:val="TOCTitle"/>
    <w:basedOn w:val="Heading1"/>
    <w:rsid w:val="00B1180A"/>
    <w:pPr>
      <w:spacing w:after="240"/>
      <w:jc w:val="center"/>
      <w:outlineLvl w:val="9"/>
    </w:pPr>
    <w:rPr>
      <w:caps/>
    </w:rPr>
  </w:style>
  <w:style w:type="paragraph" w:customStyle="1" w:styleId="Version">
    <w:name w:val="Version"/>
    <w:rsid w:val="00B118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180A"/>
    <w:pPr>
      <w:numPr>
        <w:numId w:val="12"/>
      </w:numPr>
      <w:tabs>
        <w:tab w:val="clear" w:pos="680"/>
      </w:tabs>
    </w:pPr>
  </w:style>
  <w:style w:type="paragraph" w:styleId="Index1">
    <w:name w:val="index 1"/>
    <w:basedOn w:val="Normal"/>
    <w:next w:val="Normal"/>
    <w:semiHidden/>
    <w:rsid w:val="00B1180A"/>
    <w:pPr>
      <w:keepNext w:val="0"/>
      <w:tabs>
        <w:tab w:val="right" w:pos="4176"/>
      </w:tabs>
      <w:ind w:left="198" w:hanging="198"/>
    </w:pPr>
    <w:rPr>
      <w:rFonts w:ascii="Garamond" w:hAnsi="Garamond"/>
    </w:rPr>
  </w:style>
  <w:style w:type="paragraph" w:styleId="IndexHeading">
    <w:name w:val="index heading"/>
    <w:basedOn w:val="Normal"/>
    <w:next w:val="Index1"/>
    <w:semiHidden/>
    <w:rsid w:val="00B1180A"/>
    <w:pPr>
      <w:spacing w:before="120" w:after="120"/>
    </w:pPr>
    <w:rPr>
      <w:rFonts w:ascii="Arial" w:hAnsi="Arial"/>
      <w:b/>
      <w:color w:val="918585"/>
      <w:sz w:val="24"/>
    </w:rPr>
  </w:style>
  <w:style w:type="paragraph" w:styleId="Header">
    <w:name w:val="header"/>
    <w:basedOn w:val="Normal"/>
    <w:link w:val="HeaderChar"/>
    <w:rsid w:val="00B11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180A"/>
    <w:rPr>
      <w:rFonts w:ascii="Times New Roman" w:eastAsia="Times New Roman" w:hAnsi="Times New Roman" w:cs="Times New Roman"/>
      <w:sz w:val="16"/>
      <w:szCs w:val="20"/>
      <w:lang w:val="en-GB" w:eastAsia="en-US"/>
    </w:rPr>
  </w:style>
  <w:style w:type="paragraph" w:customStyle="1" w:styleId="Chapter">
    <w:name w:val="Chapter"/>
    <w:basedOn w:val="Normal"/>
    <w:rsid w:val="00B1180A"/>
    <w:pPr>
      <w:spacing w:before="240"/>
    </w:pPr>
    <w:rPr>
      <w:rFonts w:ascii="Times New Roman" w:hAnsi="Times New Roman"/>
      <w:smallCaps/>
      <w:spacing w:val="80"/>
      <w:sz w:val="28"/>
    </w:rPr>
  </w:style>
  <w:style w:type="paragraph" w:customStyle="1" w:styleId="InChapter">
    <w:name w:val="InChapter"/>
    <w:basedOn w:val="Heading3"/>
    <w:rsid w:val="00B1180A"/>
    <w:pPr>
      <w:spacing w:after="240"/>
      <w:outlineLvl w:val="9"/>
    </w:pPr>
    <w:rPr>
      <w:noProof/>
    </w:rPr>
  </w:style>
  <w:style w:type="paragraph" w:styleId="Index2">
    <w:name w:val="index 2"/>
    <w:basedOn w:val="Normal"/>
    <w:next w:val="Normal"/>
    <w:semiHidden/>
    <w:rsid w:val="00B1180A"/>
    <w:pPr>
      <w:tabs>
        <w:tab w:val="right" w:pos="4176"/>
      </w:tabs>
      <w:ind w:left="568" w:hanging="284"/>
    </w:pPr>
    <w:rPr>
      <w:rFonts w:ascii="Garamond" w:hAnsi="Garamond"/>
    </w:rPr>
  </w:style>
  <w:style w:type="paragraph" w:customStyle="1" w:styleId="Byline">
    <w:name w:val="Byline"/>
    <w:rsid w:val="00B11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180A"/>
    <w:pPr>
      <w:tabs>
        <w:tab w:val="clear" w:pos="3600"/>
        <w:tab w:val="clear" w:pos="3958"/>
      </w:tabs>
      <w:jc w:val="right"/>
    </w:pPr>
  </w:style>
  <w:style w:type="paragraph" w:styleId="Caption">
    <w:name w:val="caption"/>
    <w:basedOn w:val="BodyText"/>
    <w:next w:val="Normal"/>
    <w:qFormat/>
    <w:rsid w:val="00B1180A"/>
    <w:pPr>
      <w:framePr w:w="2268" w:hSpace="181" w:vSpace="181" w:wrap="around" w:vAnchor="text" w:hAnchor="page" w:x="1135" w:y="285" w:anchorLock="1"/>
    </w:pPr>
    <w:rPr>
      <w:i/>
    </w:rPr>
  </w:style>
  <w:style w:type="paragraph" w:customStyle="1" w:styleId="MiniTOCTitle">
    <w:name w:val="MiniTOCTitle"/>
    <w:basedOn w:val="Heading4"/>
    <w:rsid w:val="00B1180A"/>
    <w:pPr>
      <w:spacing w:before="240"/>
      <w:outlineLvl w:val="9"/>
    </w:pPr>
    <w:rPr>
      <w:noProof/>
      <w:sz w:val="24"/>
    </w:rPr>
  </w:style>
  <w:style w:type="paragraph" w:customStyle="1" w:styleId="MiniTOCItem">
    <w:name w:val="MiniTOCItem"/>
    <w:basedOn w:val="ListBullet"/>
    <w:rsid w:val="00B1180A"/>
    <w:pPr>
      <w:numPr>
        <w:numId w:val="0"/>
      </w:numPr>
      <w:tabs>
        <w:tab w:val="right" w:leader="dot" w:pos="6521"/>
      </w:tabs>
      <w:spacing w:before="0" w:after="0"/>
    </w:pPr>
  </w:style>
  <w:style w:type="paragraph" w:customStyle="1" w:styleId="TOFTitle">
    <w:name w:val="TOFTitle"/>
    <w:basedOn w:val="TOCTitle"/>
    <w:rsid w:val="00B1180A"/>
  </w:style>
  <w:style w:type="paragraph" w:styleId="TableofFigures">
    <w:name w:val="table of figures"/>
    <w:basedOn w:val="Normal"/>
    <w:next w:val="Normal"/>
    <w:semiHidden/>
    <w:rsid w:val="00B1180A"/>
    <w:pPr>
      <w:tabs>
        <w:tab w:val="right" w:leader="dot" w:pos="9072"/>
      </w:tabs>
      <w:ind w:left="970" w:hanging="403"/>
    </w:pPr>
    <w:rPr>
      <w:rFonts w:ascii="Times New Roman" w:hAnsi="Times New Roman"/>
      <w:b/>
    </w:rPr>
  </w:style>
  <w:style w:type="paragraph" w:styleId="ListNumber">
    <w:name w:val="List Number"/>
    <w:basedOn w:val="List"/>
    <w:rsid w:val="00B1180A"/>
    <w:pPr>
      <w:numPr>
        <w:numId w:val="14"/>
      </w:numPr>
      <w:tabs>
        <w:tab w:val="clear" w:pos="340"/>
      </w:tabs>
    </w:pPr>
  </w:style>
  <w:style w:type="character" w:customStyle="1" w:styleId="WingdingSymbols">
    <w:name w:val="Wingding Symbols"/>
    <w:rsid w:val="00B1180A"/>
    <w:rPr>
      <w:rFonts w:ascii="Wingdings" w:hAnsi="Wingdings"/>
    </w:rPr>
  </w:style>
  <w:style w:type="paragraph" w:customStyle="1" w:styleId="TableHeading">
    <w:name w:val="Table Heading"/>
    <w:basedOn w:val="HeadingBase"/>
    <w:rsid w:val="00B1180A"/>
    <w:pPr>
      <w:keepLines/>
      <w:pBdr>
        <w:bottom w:val="single" w:sz="6" w:space="1" w:color="918585"/>
      </w:pBdr>
      <w:spacing w:before="240"/>
    </w:pPr>
  </w:style>
  <w:style w:type="character" w:customStyle="1" w:styleId="HotSpot">
    <w:name w:val="HotSpot"/>
    <w:rsid w:val="00B1180A"/>
    <w:rPr>
      <w:color w:val="0033CC"/>
      <w:u w:val="none"/>
    </w:rPr>
  </w:style>
  <w:style w:type="paragraph" w:customStyle="1" w:styleId="BodyTextRight">
    <w:name w:val="Body Text Right"/>
    <w:basedOn w:val="BodyText"/>
    <w:rsid w:val="00B1180A"/>
    <w:pPr>
      <w:spacing w:before="0" w:after="0"/>
      <w:jc w:val="right"/>
    </w:pPr>
  </w:style>
  <w:style w:type="paragraph" w:styleId="Index3">
    <w:name w:val="index 3"/>
    <w:basedOn w:val="ListNumber2"/>
    <w:next w:val="Normal"/>
    <w:semiHidden/>
    <w:rsid w:val="00B1180A"/>
    <w:pPr>
      <w:numPr>
        <w:numId w:val="0"/>
      </w:numPr>
      <w:tabs>
        <w:tab w:val="right" w:leader="dot" w:pos="4176"/>
      </w:tabs>
    </w:pPr>
  </w:style>
  <w:style w:type="paragraph" w:styleId="ListNumber2">
    <w:name w:val="List Number 2"/>
    <w:basedOn w:val="List2"/>
    <w:rsid w:val="00B1180A"/>
    <w:pPr>
      <w:numPr>
        <w:numId w:val="9"/>
      </w:numPr>
      <w:tabs>
        <w:tab w:val="clear" w:pos="1060"/>
      </w:tabs>
    </w:pPr>
  </w:style>
  <w:style w:type="paragraph" w:customStyle="1" w:styleId="MarginNote">
    <w:name w:val="Margin Note"/>
    <w:basedOn w:val="BodyText"/>
    <w:rsid w:val="00B11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1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1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180A"/>
    <w:rPr>
      <w:sz w:val="32"/>
    </w:rPr>
  </w:style>
  <w:style w:type="paragraph" w:customStyle="1" w:styleId="HeadingProcedure">
    <w:name w:val="Heading Procedure"/>
    <w:basedOn w:val="HeadingBase"/>
    <w:next w:val="Normal"/>
    <w:rsid w:val="00B1180A"/>
    <w:pPr>
      <w:tabs>
        <w:tab w:val="left" w:pos="0"/>
      </w:tabs>
      <w:spacing w:before="120" w:after="60"/>
    </w:pPr>
    <w:rPr>
      <w:i/>
      <w:color w:val="918585"/>
      <w:sz w:val="22"/>
    </w:rPr>
  </w:style>
  <w:style w:type="paragraph" w:customStyle="1" w:styleId="TableBodyText">
    <w:name w:val="Table Body Text"/>
    <w:basedOn w:val="BodyText"/>
    <w:rsid w:val="00B1180A"/>
    <w:pPr>
      <w:spacing w:before="60" w:after="60"/>
    </w:pPr>
  </w:style>
  <w:style w:type="paragraph" w:styleId="ListContinue">
    <w:name w:val="List Continue"/>
    <w:basedOn w:val="List"/>
    <w:rsid w:val="00B1180A"/>
    <w:pPr>
      <w:ind w:firstLine="0"/>
    </w:pPr>
  </w:style>
  <w:style w:type="paragraph" w:customStyle="1" w:styleId="ListNote">
    <w:name w:val="List Note"/>
    <w:basedOn w:val="List"/>
    <w:rsid w:val="00B1180A"/>
    <w:pPr>
      <w:pBdr>
        <w:top w:val="single" w:sz="6" w:space="2" w:color="918585"/>
        <w:bottom w:val="single" w:sz="6" w:space="2" w:color="918585"/>
      </w:pBdr>
      <w:tabs>
        <w:tab w:val="left" w:pos="1021"/>
      </w:tabs>
      <w:ind w:firstLine="0"/>
    </w:pPr>
  </w:style>
  <w:style w:type="paragraph" w:customStyle="1" w:styleId="Warning">
    <w:name w:val="Warning"/>
    <w:basedOn w:val="BodyText"/>
    <w:rsid w:val="00B1180A"/>
    <w:pPr>
      <w:shd w:val="clear" w:color="auto" w:fill="D9D9D9"/>
      <w:tabs>
        <w:tab w:val="left" w:pos="992"/>
      </w:tabs>
      <w:ind w:left="119" w:right="119"/>
    </w:pPr>
    <w:rPr>
      <w:sz w:val="20"/>
    </w:rPr>
  </w:style>
  <w:style w:type="paragraph" w:customStyle="1" w:styleId="MarginIcons">
    <w:name w:val="Margin Icons"/>
    <w:basedOn w:val="BodyText"/>
    <w:rsid w:val="00B11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180A"/>
    <w:rPr>
      <w:rFonts w:ascii="Courier New" w:hAnsi="Courier New"/>
    </w:rPr>
  </w:style>
  <w:style w:type="paragraph" w:customStyle="1" w:styleId="NoteBullet">
    <w:name w:val="Note Bullet"/>
    <w:basedOn w:val="Note"/>
    <w:rsid w:val="00B1180A"/>
    <w:pPr>
      <w:tabs>
        <w:tab w:val="clear" w:pos="680"/>
      </w:tabs>
      <w:spacing w:before="60" w:after="60"/>
    </w:pPr>
  </w:style>
  <w:style w:type="paragraph" w:customStyle="1" w:styleId="SubHeading2">
    <w:name w:val="SubHeading2"/>
    <w:basedOn w:val="HeadingBase"/>
    <w:rsid w:val="00B1180A"/>
    <w:pPr>
      <w:spacing w:before="240" w:after="60"/>
    </w:pPr>
    <w:rPr>
      <w:sz w:val="20"/>
    </w:rPr>
  </w:style>
  <w:style w:type="paragraph" w:customStyle="1" w:styleId="SubHeading1">
    <w:name w:val="SubHeading1"/>
    <w:basedOn w:val="HeadingBase"/>
    <w:rsid w:val="00B1180A"/>
    <w:pPr>
      <w:spacing w:before="240" w:after="60"/>
    </w:pPr>
    <w:rPr>
      <w:color w:val="918585"/>
      <w:sz w:val="22"/>
    </w:rPr>
  </w:style>
  <w:style w:type="paragraph" w:customStyle="1" w:styleId="SideHeading">
    <w:name w:val="Side Heading"/>
    <w:basedOn w:val="HeadingBase"/>
    <w:rsid w:val="00B11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180A"/>
    <w:pPr>
      <w:numPr>
        <w:numId w:val="10"/>
      </w:numPr>
    </w:pPr>
  </w:style>
  <w:style w:type="paragraph" w:styleId="PlainText">
    <w:name w:val="Plain Text"/>
    <w:basedOn w:val="Normal"/>
    <w:link w:val="PlainTextChar"/>
    <w:rsid w:val="00B1180A"/>
    <w:rPr>
      <w:sz w:val="20"/>
    </w:rPr>
  </w:style>
  <w:style w:type="character" w:customStyle="1" w:styleId="PlainTextChar">
    <w:name w:val="Plain Text Char"/>
    <w:basedOn w:val="DefaultParagraphFont"/>
    <w:link w:val="PlainText"/>
    <w:rsid w:val="00B1180A"/>
    <w:rPr>
      <w:rFonts w:ascii="Courier New" w:eastAsia="Times New Roman" w:hAnsi="Courier New" w:cs="Times New Roman"/>
      <w:sz w:val="20"/>
      <w:szCs w:val="20"/>
      <w:lang w:eastAsia="en-US"/>
    </w:rPr>
  </w:style>
  <w:style w:type="character" w:customStyle="1" w:styleId="MenuOption">
    <w:name w:val="Menu Option"/>
    <w:basedOn w:val="DefaultParagraphFont"/>
    <w:rsid w:val="00B1180A"/>
    <w:rPr>
      <w:b/>
      <w:smallCaps/>
    </w:rPr>
  </w:style>
  <w:style w:type="paragraph" w:customStyle="1" w:styleId="TableListNumber">
    <w:name w:val="Table List Number"/>
    <w:basedOn w:val="ListNumber"/>
    <w:rsid w:val="00B1180A"/>
    <w:pPr>
      <w:numPr>
        <w:numId w:val="0"/>
      </w:numPr>
    </w:pPr>
  </w:style>
  <w:style w:type="paragraph" w:styleId="TOC4">
    <w:name w:val="toc 4"/>
    <w:basedOn w:val="TOCBase"/>
    <w:next w:val="Normal"/>
    <w:semiHidden/>
    <w:rsid w:val="00B1180A"/>
    <w:pPr>
      <w:tabs>
        <w:tab w:val="right" w:leader="dot" w:pos="9071"/>
      </w:tabs>
      <w:ind w:left="1701"/>
    </w:pPr>
  </w:style>
  <w:style w:type="paragraph" w:customStyle="1" w:styleId="ListAlpha">
    <w:name w:val="List Alpha"/>
    <w:basedOn w:val="List"/>
    <w:rsid w:val="00B1180A"/>
    <w:pPr>
      <w:numPr>
        <w:numId w:val="8"/>
      </w:numPr>
    </w:pPr>
  </w:style>
  <w:style w:type="paragraph" w:customStyle="1" w:styleId="ListAlpha2">
    <w:name w:val="List Alpha 2"/>
    <w:basedOn w:val="List2"/>
    <w:rsid w:val="00B1180A"/>
    <w:pPr>
      <w:numPr>
        <w:numId w:val="7"/>
      </w:numPr>
    </w:pPr>
  </w:style>
  <w:style w:type="paragraph" w:styleId="List2">
    <w:name w:val="List 2"/>
    <w:basedOn w:val="BodyText"/>
    <w:rsid w:val="00B1180A"/>
    <w:pPr>
      <w:tabs>
        <w:tab w:val="left" w:pos="680"/>
      </w:tabs>
      <w:spacing w:before="60" w:after="60"/>
      <w:ind w:left="680" w:hanging="340"/>
    </w:pPr>
  </w:style>
  <w:style w:type="paragraph" w:styleId="List3">
    <w:name w:val="List 3"/>
    <w:basedOn w:val="BodyText"/>
    <w:rsid w:val="00B1180A"/>
    <w:pPr>
      <w:tabs>
        <w:tab w:val="left" w:pos="1021"/>
      </w:tabs>
      <w:spacing w:before="60" w:after="60"/>
      <w:ind w:left="1020" w:hanging="340"/>
    </w:pPr>
  </w:style>
  <w:style w:type="paragraph" w:styleId="List4">
    <w:name w:val="List 4"/>
    <w:basedOn w:val="BodyText"/>
    <w:rsid w:val="00B1180A"/>
    <w:pPr>
      <w:tabs>
        <w:tab w:val="left" w:pos="1361"/>
      </w:tabs>
      <w:spacing w:before="60" w:after="60"/>
      <w:ind w:left="1361" w:hanging="340"/>
    </w:pPr>
  </w:style>
  <w:style w:type="paragraph" w:styleId="List5">
    <w:name w:val="List 5"/>
    <w:basedOn w:val="BodyText"/>
    <w:rsid w:val="00B1180A"/>
    <w:pPr>
      <w:tabs>
        <w:tab w:val="left" w:pos="1701"/>
      </w:tabs>
      <w:spacing w:before="60" w:after="60"/>
      <w:ind w:left="1701" w:hanging="340"/>
    </w:pPr>
  </w:style>
  <w:style w:type="paragraph" w:styleId="ListBullet3">
    <w:name w:val="List Bullet 3"/>
    <w:basedOn w:val="List3"/>
    <w:rsid w:val="00B1180A"/>
    <w:pPr>
      <w:numPr>
        <w:numId w:val="13"/>
      </w:numPr>
      <w:tabs>
        <w:tab w:val="clear" w:pos="1021"/>
      </w:tabs>
      <w:ind w:left="1037" w:hanging="357"/>
    </w:pPr>
  </w:style>
  <w:style w:type="paragraph" w:styleId="ListBullet4">
    <w:name w:val="List Bullet 4"/>
    <w:basedOn w:val="List4"/>
    <w:rsid w:val="00B1180A"/>
    <w:pPr>
      <w:numPr>
        <w:numId w:val="2"/>
      </w:numPr>
      <w:tabs>
        <w:tab w:val="clear" w:pos="1361"/>
      </w:tabs>
    </w:pPr>
  </w:style>
  <w:style w:type="paragraph" w:styleId="ListBullet5">
    <w:name w:val="List Bullet 5"/>
    <w:basedOn w:val="List5"/>
    <w:rsid w:val="00B1180A"/>
    <w:pPr>
      <w:numPr>
        <w:numId w:val="3"/>
      </w:numPr>
    </w:pPr>
  </w:style>
  <w:style w:type="paragraph" w:styleId="ListContinue2">
    <w:name w:val="List Continue 2"/>
    <w:basedOn w:val="List2"/>
    <w:rsid w:val="00B1180A"/>
    <w:pPr>
      <w:ind w:firstLine="0"/>
    </w:pPr>
  </w:style>
  <w:style w:type="paragraph" w:styleId="ListContinue3">
    <w:name w:val="List Continue 3"/>
    <w:basedOn w:val="List3"/>
    <w:rsid w:val="00B1180A"/>
    <w:pPr>
      <w:ind w:left="1021" w:firstLine="0"/>
    </w:pPr>
  </w:style>
  <w:style w:type="paragraph" w:styleId="ListContinue4">
    <w:name w:val="List Continue 4"/>
    <w:basedOn w:val="List4"/>
    <w:rsid w:val="00B1180A"/>
    <w:pPr>
      <w:ind w:firstLine="0"/>
    </w:pPr>
  </w:style>
  <w:style w:type="paragraph" w:styleId="ListContinue5">
    <w:name w:val="List Continue 5"/>
    <w:basedOn w:val="List5"/>
    <w:rsid w:val="00B1180A"/>
    <w:pPr>
      <w:ind w:firstLine="0"/>
    </w:pPr>
  </w:style>
  <w:style w:type="paragraph" w:styleId="ListNumber3">
    <w:name w:val="List Number 3"/>
    <w:basedOn w:val="List3"/>
    <w:rsid w:val="00B1180A"/>
    <w:pPr>
      <w:numPr>
        <w:numId w:val="4"/>
      </w:numPr>
    </w:pPr>
  </w:style>
  <w:style w:type="paragraph" w:styleId="ListNumber4">
    <w:name w:val="List Number 4"/>
    <w:basedOn w:val="List4"/>
    <w:rsid w:val="00B1180A"/>
    <w:pPr>
      <w:numPr>
        <w:numId w:val="5"/>
      </w:numPr>
    </w:pPr>
  </w:style>
  <w:style w:type="paragraph" w:styleId="ListNumber5">
    <w:name w:val="List Number 5"/>
    <w:basedOn w:val="List5"/>
    <w:rsid w:val="00B1180A"/>
    <w:pPr>
      <w:numPr>
        <w:numId w:val="6"/>
      </w:numPr>
    </w:pPr>
  </w:style>
  <w:style w:type="paragraph" w:styleId="BlockText">
    <w:name w:val="Block Text"/>
    <w:basedOn w:val="Normal"/>
    <w:rsid w:val="00B1180A"/>
    <w:pPr>
      <w:spacing w:after="120"/>
      <w:ind w:left="1440" w:right="1440"/>
    </w:pPr>
  </w:style>
  <w:style w:type="character" w:customStyle="1" w:styleId="Subscript">
    <w:name w:val="Subscript"/>
    <w:basedOn w:val="DefaultParagraphFont"/>
    <w:rsid w:val="00B1180A"/>
    <w:rPr>
      <w:sz w:val="16"/>
      <w:vertAlign w:val="subscript"/>
    </w:rPr>
  </w:style>
  <w:style w:type="character" w:customStyle="1" w:styleId="Superscript">
    <w:name w:val="Superscript"/>
    <w:basedOn w:val="DefaultParagraphFont"/>
    <w:rsid w:val="00B1180A"/>
    <w:rPr>
      <w:sz w:val="16"/>
      <w:vertAlign w:val="superscript"/>
    </w:rPr>
  </w:style>
  <w:style w:type="character" w:customStyle="1" w:styleId="Symbols">
    <w:name w:val="Symbols"/>
    <w:basedOn w:val="DefaultParagraphFont"/>
    <w:rsid w:val="00B1180A"/>
    <w:rPr>
      <w:rFonts w:ascii="Symbol" w:hAnsi="Symbol"/>
    </w:rPr>
  </w:style>
  <w:style w:type="character" w:customStyle="1" w:styleId="MenuOptions">
    <w:name w:val="Menu Options"/>
    <w:basedOn w:val="DefaultParagraphFont"/>
    <w:rsid w:val="00B1180A"/>
    <w:rPr>
      <w:rFonts w:ascii="Arial Narrow" w:hAnsi="Arial Narrow"/>
      <w:smallCaps/>
    </w:rPr>
  </w:style>
  <w:style w:type="character" w:customStyle="1" w:styleId="Buttons">
    <w:name w:val="Buttons"/>
    <w:basedOn w:val="DefaultParagraphFont"/>
    <w:rsid w:val="00B1180A"/>
    <w:rPr>
      <w:b/>
    </w:rPr>
  </w:style>
  <w:style w:type="character" w:customStyle="1" w:styleId="Underlined">
    <w:name w:val="Underlined"/>
    <w:basedOn w:val="DefaultParagraphFont"/>
    <w:rsid w:val="00B1180A"/>
    <w:rPr>
      <w:u w:val="single"/>
    </w:rPr>
  </w:style>
  <w:style w:type="paragraph" w:customStyle="1" w:styleId="TableBodyTextRight">
    <w:name w:val="Table Body Text Right"/>
    <w:basedOn w:val="TableBodyText"/>
    <w:rsid w:val="00B1180A"/>
    <w:pPr>
      <w:widowControl w:val="0"/>
      <w:autoSpaceDE w:val="0"/>
      <w:autoSpaceDN w:val="0"/>
      <w:adjustRightInd w:val="0"/>
      <w:jc w:val="right"/>
    </w:pPr>
    <w:rPr>
      <w:rFonts w:cs="Arial"/>
      <w:szCs w:val="18"/>
    </w:rPr>
  </w:style>
  <w:style w:type="paragraph" w:customStyle="1" w:styleId="CopyrightText">
    <w:name w:val="Copyright Text"/>
    <w:basedOn w:val="BodyText"/>
    <w:rsid w:val="00B1180A"/>
    <w:rPr>
      <w:sz w:val="18"/>
    </w:rPr>
  </w:style>
  <w:style w:type="paragraph" w:customStyle="1" w:styleId="BodySmallRight">
    <w:name w:val="Body Small Right"/>
    <w:basedOn w:val="BodyTextRight"/>
    <w:rsid w:val="00B1180A"/>
    <w:rPr>
      <w:sz w:val="18"/>
      <w:szCs w:val="18"/>
    </w:rPr>
  </w:style>
  <w:style w:type="paragraph" w:customStyle="1" w:styleId="MarginEdition">
    <w:name w:val="Margin Edition"/>
    <w:basedOn w:val="MarginNote"/>
    <w:rsid w:val="00B1180A"/>
    <w:pPr>
      <w:spacing w:before="0" w:after="0"/>
    </w:pPr>
    <w:rPr>
      <w:rFonts w:ascii="Times New Roman" w:hAnsi="Times New Roman"/>
      <w:color w:val="999999"/>
    </w:rPr>
  </w:style>
  <w:style w:type="paragraph" w:customStyle="1" w:styleId="Spacer">
    <w:name w:val="Spacer"/>
    <w:basedOn w:val="Normal"/>
    <w:rsid w:val="00B1180A"/>
    <w:rPr>
      <w:sz w:val="2"/>
      <w:szCs w:val="2"/>
    </w:rPr>
  </w:style>
  <w:style w:type="character" w:customStyle="1" w:styleId="Small">
    <w:name w:val="Small"/>
    <w:basedOn w:val="DefaultParagraphFont"/>
    <w:rsid w:val="00B1180A"/>
    <w:rPr>
      <w:sz w:val="16"/>
    </w:rPr>
  </w:style>
  <w:style w:type="paragraph" w:customStyle="1" w:styleId="WideTable">
    <w:name w:val="Wide Table"/>
    <w:basedOn w:val="Normal"/>
    <w:rsid w:val="00B1180A"/>
    <w:pPr>
      <w:ind w:left="-1418"/>
    </w:pPr>
    <w:rPr>
      <w:sz w:val="2"/>
      <w:szCs w:val="2"/>
    </w:rPr>
  </w:style>
  <w:style w:type="character" w:styleId="PageNumber">
    <w:name w:val="page number"/>
    <w:basedOn w:val="DefaultParagraphFont"/>
    <w:rsid w:val="00B1180A"/>
  </w:style>
  <w:style w:type="paragraph" w:styleId="Quote">
    <w:name w:val="Quote"/>
    <w:basedOn w:val="Heading1"/>
    <w:link w:val="QuoteChar"/>
    <w:qFormat/>
    <w:rsid w:val="00B1180A"/>
    <w:rPr>
      <w:b w:val="0"/>
      <w:sz w:val="72"/>
      <w:szCs w:val="72"/>
      <w:lang w:val="en-NZ"/>
    </w:rPr>
  </w:style>
  <w:style w:type="character" w:customStyle="1" w:styleId="QuoteChar">
    <w:name w:val="Quote Char"/>
    <w:basedOn w:val="DefaultParagraphFont"/>
    <w:link w:val="Quote"/>
    <w:rsid w:val="00B11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180A"/>
    <w:pPr>
      <w:pageBreakBefore/>
    </w:pPr>
  </w:style>
  <w:style w:type="paragraph" w:customStyle="1" w:styleId="Border">
    <w:name w:val="Border"/>
    <w:basedOn w:val="Normal"/>
    <w:qFormat/>
    <w:rsid w:val="00B11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180A"/>
    <w:rPr>
      <w:b/>
      <w:bCs/>
      <w:i/>
      <w:iCs/>
      <w:color w:val="auto"/>
    </w:rPr>
  </w:style>
  <w:style w:type="paragraph" w:styleId="IntenseQuote">
    <w:name w:val="Intense Quote"/>
    <w:basedOn w:val="Normal"/>
    <w:next w:val="Normal"/>
    <w:link w:val="IntenseQuoteChar"/>
    <w:uiPriority w:val="30"/>
    <w:qFormat/>
    <w:rsid w:val="00B11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1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180A"/>
    <w:rPr>
      <w:smallCaps/>
      <w:color w:val="auto"/>
      <w:u w:val="single"/>
    </w:rPr>
  </w:style>
  <w:style w:type="character" w:styleId="IntenseReference">
    <w:name w:val="Intense Reference"/>
    <w:basedOn w:val="DefaultParagraphFont"/>
    <w:uiPriority w:val="32"/>
    <w:qFormat/>
    <w:rsid w:val="00B1180A"/>
    <w:rPr>
      <w:b/>
      <w:bCs/>
      <w:smallCaps/>
      <w:color w:val="auto"/>
      <w:spacing w:val="5"/>
      <w:u w:val="single"/>
    </w:rPr>
  </w:style>
  <w:style w:type="paragraph" w:customStyle="1" w:styleId="2ColumnHeading">
    <w:name w:val="2Column Heading"/>
    <w:basedOn w:val="BodyText"/>
    <w:qFormat/>
    <w:rsid w:val="00B1180A"/>
    <w:pPr>
      <w:spacing w:after="60"/>
      <w:ind w:left="-2268"/>
    </w:pPr>
    <w:rPr>
      <w:b/>
    </w:rPr>
  </w:style>
  <w:style w:type="paragraph" w:customStyle="1" w:styleId="Heading1TOC">
    <w:name w:val="Heading1 TOC"/>
    <w:basedOn w:val="Normal"/>
    <w:qFormat/>
    <w:rsid w:val="00B1180A"/>
    <w:pPr>
      <w:spacing w:before="240" w:after="120"/>
    </w:pPr>
    <w:rPr>
      <w:rFonts w:ascii="Times New Roman" w:hAnsi="Times New Roman"/>
      <w:b/>
      <w:sz w:val="32"/>
    </w:rPr>
  </w:style>
  <w:style w:type="paragraph" w:customStyle="1" w:styleId="Heading2TOC">
    <w:name w:val="Heading2 TOC"/>
    <w:basedOn w:val="Normal"/>
    <w:qFormat/>
    <w:rsid w:val="00B1180A"/>
    <w:pPr>
      <w:spacing w:before="240" w:after="60"/>
    </w:pPr>
    <w:rPr>
      <w:rFonts w:ascii="Times New Roman" w:hAnsi="Times New Roman"/>
      <w:b/>
      <w:sz w:val="28"/>
    </w:rPr>
  </w:style>
  <w:style w:type="character" w:customStyle="1" w:styleId="Underline">
    <w:name w:val="Underline"/>
    <w:basedOn w:val="DefaultParagraphFont"/>
    <w:qFormat/>
    <w:rsid w:val="00B1180A"/>
    <w:rPr>
      <w:u w:val="single"/>
    </w:rPr>
  </w:style>
  <w:style w:type="character" w:customStyle="1" w:styleId="BoldandItalics">
    <w:name w:val="Bold and Italics"/>
    <w:qFormat/>
    <w:rsid w:val="00B1180A"/>
    <w:rPr>
      <w:b/>
      <w:i/>
      <w:u w:val="none"/>
    </w:rPr>
  </w:style>
  <w:style w:type="paragraph" w:styleId="BalloonText">
    <w:name w:val="Balloon Text"/>
    <w:basedOn w:val="Normal"/>
    <w:link w:val="BalloonTextChar"/>
    <w:rsid w:val="00B1180A"/>
    <w:rPr>
      <w:rFonts w:ascii="Tahoma" w:hAnsi="Tahoma" w:cs="Tahoma"/>
      <w:sz w:val="16"/>
      <w:szCs w:val="16"/>
    </w:rPr>
  </w:style>
  <w:style w:type="character" w:customStyle="1" w:styleId="BalloonTextChar">
    <w:name w:val="Balloon Text Char"/>
    <w:basedOn w:val="DefaultParagraphFont"/>
    <w:link w:val="BalloonText"/>
    <w:rsid w:val="00B11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1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1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180A"/>
    <w:rPr>
      <w:b/>
      <w:color w:val="660033"/>
      <w:spacing w:val="0"/>
    </w:rPr>
  </w:style>
  <w:style w:type="paragraph" w:customStyle="1" w:styleId="Nameditemlist">
    <w:name w:val="Named item list"/>
    <w:basedOn w:val="BodyText"/>
    <w:qFormat/>
    <w:rsid w:val="00B1180A"/>
    <w:pPr>
      <w:tabs>
        <w:tab w:val="left" w:pos="2835"/>
      </w:tabs>
      <w:ind w:left="2835" w:hanging="2835"/>
    </w:pPr>
  </w:style>
  <w:style w:type="paragraph" w:customStyle="1" w:styleId="BodyTextnopadding">
    <w:name w:val="Body Text no padding"/>
    <w:basedOn w:val="BodyText"/>
    <w:qFormat/>
    <w:rsid w:val="00B1180A"/>
    <w:pPr>
      <w:spacing w:before="0" w:after="0"/>
    </w:pPr>
  </w:style>
  <w:style w:type="paragraph" w:customStyle="1" w:styleId="BodyTextBold">
    <w:name w:val="Body Text Bold"/>
    <w:basedOn w:val="BodyText"/>
    <w:qFormat/>
    <w:rsid w:val="00B1180A"/>
    <w:rPr>
      <w:b/>
    </w:rPr>
  </w:style>
  <w:style w:type="character" w:styleId="Hyperlink">
    <w:name w:val="Hyperlink"/>
    <w:basedOn w:val="DefaultParagraphFont"/>
    <w:uiPriority w:val="99"/>
    <w:unhideWhenUsed/>
    <w:rsid w:val="00645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2699</Characters>
  <Application>Microsoft Office Word</Application>
  <DocSecurity>0</DocSecurity>
  <Lines>65</Lines>
  <Paragraphs>42</Paragraphs>
  <ScaleCrop>false</ScaleCrop>
  <Company>Author-it Software Corporation Ltd.</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TLIC4068 Operate heavy recovery ancillary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2021-04-12T02:17:00Z</dcterms:created>
  <dcterms:modified xsi:type="dcterms:W3CDTF">2021-04-12T02:17:00Z</dcterms:modified>
</cp:coreProperties>
</file>