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1102" w:rsidP="00971102">
      <w:pPr>
        <w:pStyle w:val="Title"/>
      </w:pPr>
      <w:r>
        <w:fldChar w:fldCharType="begin"/>
      </w:r>
      <w:r>
        <w:instrText xml:space="preserve"> TITLE   \* MERGEFORMAT </w:instrText>
      </w:r>
      <w:r>
        <w:fldChar w:fldCharType="separate"/>
      </w:r>
      <w:r>
        <w:t>TLIC4026 Operate and monitor a motive power unit</w:t>
      </w:r>
      <w:r>
        <w:fldChar w:fldCharType="end"/>
      </w:r>
    </w:p>
    <w:p w:rsidR="00971102" w:rsidP="00971102">
      <w:pPr>
        <w:pStyle w:val="Version"/>
        <w:sectPr w:rsidSect="007B02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02DA" w:rsidP="007B02DA">
      <w:pPr>
        <w:pStyle w:val="SuperHeading"/>
      </w:pPr>
      <w:r w:rsidRPr="007B02DA">
        <w:t>TLIC4026 Operate and monitor a motive power unit</w:t>
      </w:r>
    </w:p>
    <w:p w:rsidR="00000000" w:rsidRPr="007B02DA" w:rsidP="007B02DA">
      <w:pPr>
        <w:pStyle w:val="Heading1"/>
      </w:pPr>
      <w:bookmarkStart w:id="1" w:name="O_751165"/>
      <w:bookmarkEnd w:id="1"/>
      <w:r w:rsidRPr="007B02DA">
        <w:t>Modification History</w:t>
      </w:r>
    </w:p>
    <w:p w:rsidR="00971102" w:rsidP="00971102">
      <w:pPr>
        <w:pStyle w:val="BodyText"/>
      </w:pPr>
      <w:r w:rsidRPr="007B02DA">
        <w:t>Release 1. This is the first release of this unit of competency in the TLI Transport and Logistics Training Package.</w:t>
      </w:r>
    </w:p>
    <w:p w:rsidR="00000000" w:rsidRPr="007B02DA" w:rsidP="007B02DA">
      <w:pPr>
        <w:pStyle w:val="Heading1"/>
      </w:pPr>
      <w:bookmarkStart w:id="2" w:name="O_751166"/>
      <w:bookmarkEnd w:id="2"/>
      <w:r w:rsidRPr="007B02DA">
        <w:t>Application</w:t>
      </w:r>
    </w:p>
    <w:tbl>
      <w:tblPr>
        <w:tblW w:w="0" w:type="auto"/>
        <w:tblCellMar>
          <w:left w:w="62" w:type="dxa"/>
          <w:right w:w="62" w:type="dxa"/>
        </w:tblCellMar>
        <w:tblLook w:val="0000"/>
      </w:tblPr>
      <w:tblGrid>
        <w:gridCol w:w="9196"/>
      </w:tblGrid>
      <w:tr w:rsidTr="009711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B02DA" w:rsidP="007B02DA">
            <w:pPr>
              <w:pStyle w:val="BodyText"/>
            </w:pPr>
            <w:r w:rsidRPr="007B02DA">
              <w:t>This unit involves the skills and knowledge required to operate and monitor a mo</w:t>
            </w:r>
            <w:r w:rsidRPr="007B02DA">
              <w:t>tive power unit in accordance with relevant workplace procedures, rail regulations and codes of practice.</w:t>
            </w:r>
          </w:p>
          <w:p w:rsidR="00000000" w:rsidRPr="007B02DA" w:rsidP="007B02DA">
            <w:pPr>
              <w:pStyle w:val="BodyText"/>
            </w:pPr>
            <w:r w:rsidRPr="007B02DA">
              <w:t>It includes operating motive power unit controls, monitoring performance and maintaining operational condition during a journey. It also includes work</w:t>
            </w:r>
            <w:r w:rsidRPr="007B02DA">
              <w:t xml:space="preserve">ing collaboratively with other train crew and relevant personnel. </w:t>
            </w:r>
          </w:p>
          <w:p w:rsidR="00000000" w:rsidRPr="007B02DA" w:rsidP="007B02DA">
            <w:pPr>
              <w:pStyle w:val="BodyText"/>
            </w:pPr>
            <w:r w:rsidRPr="007B02DA">
              <w:t>People achieving competence in this unit will need to fulfil the applicable state/territory legislated rail safety requirements and to comply with relevant codes of practice and/or guidelin</w:t>
            </w:r>
            <w:r w:rsidRPr="007B02DA">
              <w:t>es.</w:t>
            </w:r>
          </w:p>
          <w:p w:rsidR="00000000" w:rsidRPr="007B02DA" w:rsidP="007B02DA">
            <w:pPr>
              <w:pStyle w:val="BodyText"/>
            </w:pPr>
            <w:r w:rsidRPr="007B02DA">
              <w:t>Work is performed without supervision, generally within a team environment. It involves the application of routine operational principles and procedures when maintaining the safety and operation of a motive power unit across a variety of operational co</w:t>
            </w:r>
            <w:r w:rsidRPr="007B02DA">
              <w:t>ntexts in the Australian rail system.</w:t>
            </w:r>
          </w:p>
          <w:p w:rsidR="00000000" w:rsidRPr="007B02DA" w:rsidP="007B02DA">
            <w:pPr>
              <w:pStyle w:val="BodyText"/>
            </w:pPr>
            <w:r w:rsidRPr="007B02DA">
              <w:t>No licensing, legislative or certification requirements apply to this unit at the time of publication.</w:t>
            </w:r>
          </w:p>
        </w:tc>
      </w:tr>
    </w:tbl>
    <w:p w:rsidR="00971102" w:rsidP="007B02DA">
      <w:pPr>
        <w:pStyle w:val="BodyText"/>
      </w:pPr>
    </w:p>
    <w:p w:rsidR="00971102" w:rsidP="007B02DA">
      <w:pPr>
        <w:pStyle w:val="BodyText"/>
      </w:pPr>
    </w:p>
    <w:p w:rsidR="00000000" w:rsidRPr="007B02DA" w:rsidP="007B02DA">
      <w:pPr>
        <w:pStyle w:val="Heading1"/>
      </w:pPr>
      <w:bookmarkStart w:id="3" w:name="O_751167"/>
      <w:bookmarkEnd w:id="3"/>
      <w:r w:rsidRPr="007B02DA">
        <w:t>Pre-requisite Unit</w:t>
      </w:r>
    </w:p>
    <w:p w:rsidR="00971102" w:rsidP="00971102">
      <w:pPr>
        <w:pStyle w:val="BodyText"/>
      </w:pPr>
      <w:r w:rsidRPr="007B02DA">
        <w:t>Not applicable.</w:t>
      </w:r>
    </w:p>
    <w:p w:rsidR="00000000" w:rsidRPr="007B02DA" w:rsidP="007B02DA">
      <w:pPr>
        <w:pStyle w:val="Heading1"/>
      </w:pPr>
      <w:bookmarkStart w:id="4" w:name="O_751168"/>
      <w:bookmarkEnd w:id="4"/>
      <w:r w:rsidRPr="007B02DA">
        <w:t>Competency Field</w:t>
      </w:r>
    </w:p>
    <w:p w:rsidR="00971102" w:rsidP="00971102">
      <w:pPr>
        <w:pStyle w:val="BodyText"/>
      </w:pPr>
      <w:r w:rsidRPr="007B02DA">
        <w:t>C – Vehicle Operation</w:t>
      </w:r>
    </w:p>
    <w:p w:rsidR="00000000" w:rsidRPr="007B02DA" w:rsidP="007B02DA">
      <w:pPr>
        <w:pStyle w:val="Heading1"/>
      </w:pPr>
      <w:bookmarkStart w:id="5" w:name="O_751169"/>
      <w:bookmarkEnd w:id="5"/>
      <w:r w:rsidRPr="007B02DA">
        <w:t>Unit Sector</w:t>
      </w:r>
    </w:p>
    <w:p w:rsidR="00000000" w:rsidRPr="007B02DA" w:rsidP="00971102">
      <w:pPr>
        <w:pStyle w:val="BodyText"/>
      </w:pPr>
      <w:r w:rsidRPr="007B02DA">
        <w:t>Not applicable.</w:t>
      </w:r>
    </w:p>
    <w:p w:rsidR="00000000" w:rsidRPr="007B02DA" w:rsidP="007B02DA">
      <w:pPr>
        <w:pStyle w:val="AllowPageBreak"/>
      </w:pPr>
    </w:p>
    <w:p w:rsidR="00000000" w:rsidRPr="007B02DA" w:rsidP="007B02DA">
      <w:pPr>
        <w:pStyle w:val="Heading1"/>
      </w:pPr>
      <w:bookmarkStart w:id="6" w:name="O_751170"/>
      <w:bookmarkEnd w:id="6"/>
      <w:r w:rsidRPr="007B02DA">
        <w:t>Elements and Performance Criteria</w:t>
      </w:r>
    </w:p>
    <w:tbl>
      <w:tblPr>
        <w:tblW w:w="0" w:type="auto"/>
        <w:tblCellMar>
          <w:left w:w="62" w:type="dxa"/>
          <w:right w:w="62" w:type="dxa"/>
        </w:tblCellMar>
        <w:tblLook w:val="0000"/>
      </w:tblPr>
      <w:tblGrid>
        <w:gridCol w:w="335"/>
        <w:gridCol w:w="1782"/>
        <w:gridCol w:w="556"/>
        <w:gridCol w:w="6523"/>
      </w:tblGrid>
      <w:tr w:rsidTr="00971102">
        <w:tblPrEx>
          <w:tblW w:w="0" w:type="auto"/>
          <w:tblCellMar>
            <w:left w:w="62" w:type="dxa"/>
            <w:right w:w="62" w:type="dxa"/>
          </w:tblCellMar>
          <w:tblLook w:val="0000"/>
        </w:tblPrEx>
        <w:trPr>
          <w:trHeight w:val="481"/>
        </w:trPr>
        <w:tc>
          <w:tcPr>
            <w:tcW w:w="0" w:type="auto"/>
            <w:gridSpan w:val="2"/>
            <w:tcBorders>
              <w:top w:val="nil"/>
              <w:left w:val="nil"/>
              <w:bottom w:val="nil"/>
              <w:right w:val="nil"/>
            </w:tcBorders>
            <w:tcMar>
              <w:top w:w="0" w:type="dxa"/>
              <w:left w:w="62" w:type="dxa"/>
              <w:bottom w:w="0" w:type="dxa"/>
              <w:right w:w="62" w:type="dxa"/>
            </w:tcMar>
          </w:tcPr>
          <w:p w:rsidR="00000000" w:rsidP="007B02DA">
            <w:pPr>
              <w:pStyle w:val="BodyText"/>
              <w:rPr>
                <w:lang w:val="en-NZ"/>
              </w:rPr>
            </w:pPr>
            <w:r w:rsidRPr="007B02DA">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7B02DA">
            <w:pPr>
              <w:pStyle w:val="BodyText"/>
              <w:rPr>
                <w:lang w:val="en-NZ"/>
              </w:rPr>
            </w:pPr>
            <w:r w:rsidRPr="007B02DA">
              <w:t>Performance criteria describe the performance needed to demonstrate achievement of the element.</w:t>
            </w:r>
          </w:p>
        </w:tc>
      </w:tr>
      <w:tr w:rsidTr="00971102">
        <w:tblPrEx>
          <w:tblW w:w="0" w:type="auto"/>
          <w:tblCellMar>
            <w:left w:w="62" w:type="dxa"/>
            <w:right w:w="62" w:type="dxa"/>
          </w:tblCellMar>
          <w:tblLook w:val="0000"/>
        </w:tblPrEx>
        <w:trPr>
          <w:trHeight w:val="481"/>
        </w:trPr>
        <w:tc>
          <w:tcPr>
            <w:tcW w:w="0" w:type="auto"/>
            <w:vMerge w:val="restart"/>
            <w:tcBorders>
              <w:top w:val="nil"/>
              <w:left w:val="nil"/>
              <w:bottom w:val="nil"/>
              <w:right w:val="nil"/>
            </w:tcBorders>
            <w:tcMar>
              <w:top w:w="0" w:type="dxa"/>
              <w:left w:w="62" w:type="dxa"/>
              <w:bottom w:w="0" w:type="dxa"/>
              <w:right w:w="62" w:type="dxa"/>
            </w:tcMar>
          </w:tcPr>
          <w:p w:rsidR="00000000" w:rsidRPr="007B02DA" w:rsidP="007B02DA">
            <w:pPr>
              <w:pStyle w:val="BodyText"/>
            </w:pPr>
            <w:r w:rsidRPr="007B02DA">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7B02DA">
            <w:pPr>
              <w:pStyle w:val="BodyText"/>
              <w:rPr>
                <w:lang w:val="en-NZ"/>
              </w:rPr>
            </w:pPr>
            <w:r w:rsidRPr="007B02DA">
              <w:rPr>
                <w:rStyle w:val="SpecialBold"/>
              </w:rPr>
              <w:t>Operate motive p</w:t>
            </w:r>
            <w:r w:rsidRPr="007B02DA">
              <w:rPr>
                <w:rStyle w:val="SpecialBold"/>
              </w:rPr>
              <w:t>ower unit</w:t>
            </w:r>
          </w:p>
        </w:tc>
        <w:tc>
          <w:tcPr>
            <w:tcW w:w="0" w:type="auto"/>
            <w:tcBorders>
              <w:top w:val="nil"/>
              <w:left w:val="nil"/>
              <w:bottom w:val="nil"/>
              <w:right w:val="nil"/>
            </w:tcBorders>
            <w:tcMar>
              <w:top w:w="0" w:type="dxa"/>
              <w:left w:w="62" w:type="dxa"/>
              <w:bottom w:w="0" w:type="dxa"/>
              <w:right w:w="62" w:type="dxa"/>
            </w:tcMar>
          </w:tcPr>
          <w:p w:rsidR="00000000" w:rsidP="007B02DA">
            <w:pPr>
              <w:pStyle w:val="BodyText"/>
              <w:rPr>
                <w:lang w:val="en-NZ"/>
              </w:rPr>
            </w:pPr>
            <w:r w:rsidRPr="007B02DA">
              <w:t>1.1</w:t>
            </w:r>
          </w:p>
        </w:tc>
        <w:tc>
          <w:tcPr>
            <w:tcW w:w="0" w:type="auto"/>
            <w:tcBorders>
              <w:top w:val="nil"/>
              <w:left w:val="nil"/>
              <w:bottom w:val="nil"/>
              <w:right w:val="nil"/>
            </w:tcBorders>
            <w:tcMar>
              <w:top w:w="0" w:type="dxa"/>
              <w:left w:w="62" w:type="dxa"/>
              <w:bottom w:w="0" w:type="dxa"/>
              <w:right w:w="62" w:type="dxa"/>
            </w:tcMar>
          </w:tcPr>
          <w:p w:rsidR="00000000" w:rsidP="007B02DA">
            <w:pPr>
              <w:pStyle w:val="BodyText"/>
              <w:rPr>
                <w:lang w:val="en-NZ"/>
              </w:rPr>
            </w:pPr>
            <w:r w:rsidRPr="007B02DA">
              <w:t>Motive power unit handling techniques, and track and road knowledge are applied to eliminate or minimise risk of injury to personnel or damage to equipment, rolling stock and load</w:t>
            </w:r>
          </w:p>
        </w:tc>
      </w:tr>
      <w:tr w:rsidTr="00971102">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B02DA">
            <w:pPr>
              <w:pStyle w:val="BodyText"/>
              <w:rPr>
                <w:lang w:val="en-NZ"/>
              </w:rPr>
            </w:pPr>
            <w:r w:rsidRPr="007B02DA">
              <w:t>1.2</w:t>
            </w:r>
          </w:p>
        </w:tc>
        <w:tc>
          <w:tcPr>
            <w:tcW w:w="0" w:type="auto"/>
            <w:tcBorders>
              <w:top w:val="nil"/>
              <w:left w:val="nil"/>
              <w:bottom w:val="nil"/>
              <w:right w:val="nil"/>
            </w:tcBorders>
            <w:tcMar>
              <w:top w:w="0" w:type="dxa"/>
              <w:left w:w="62" w:type="dxa"/>
              <w:bottom w:w="0" w:type="dxa"/>
              <w:right w:w="62" w:type="dxa"/>
            </w:tcMar>
          </w:tcPr>
          <w:p w:rsidR="00000000" w:rsidP="007B02DA">
            <w:pPr>
              <w:pStyle w:val="BodyText"/>
              <w:rPr>
                <w:lang w:val="en-NZ"/>
              </w:rPr>
            </w:pPr>
            <w:r w:rsidRPr="007B02DA">
              <w:t>Acceleration and braking techniques are applied safely within track, road and weather conditions</w:t>
            </w:r>
          </w:p>
        </w:tc>
      </w:tr>
      <w:tr w:rsidTr="00971102">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B02DA">
            <w:pPr>
              <w:pStyle w:val="BodyText"/>
              <w:rPr>
                <w:lang w:val="en-NZ"/>
              </w:rPr>
            </w:pPr>
            <w:r w:rsidRPr="007B02DA">
              <w:t>1.3</w:t>
            </w:r>
          </w:p>
        </w:tc>
        <w:tc>
          <w:tcPr>
            <w:tcW w:w="0" w:type="auto"/>
            <w:tcBorders>
              <w:top w:val="nil"/>
              <w:left w:val="nil"/>
              <w:bottom w:val="nil"/>
              <w:right w:val="nil"/>
            </w:tcBorders>
            <w:tcMar>
              <w:top w:w="0" w:type="dxa"/>
              <w:left w:w="62" w:type="dxa"/>
              <w:bottom w:w="0" w:type="dxa"/>
              <w:right w:w="62" w:type="dxa"/>
            </w:tcMar>
          </w:tcPr>
          <w:p w:rsidR="00000000" w:rsidP="007B02DA">
            <w:pPr>
              <w:pStyle w:val="BodyText"/>
              <w:rPr>
                <w:lang w:val="en-NZ"/>
              </w:rPr>
            </w:pPr>
            <w:r w:rsidRPr="007B02DA">
              <w:t>Hazards are identified, risks are assessed and risk control measures are implemented</w:t>
            </w:r>
          </w:p>
        </w:tc>
      </w:tr>
      <w:tr w:rsidTr="00971102">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B02DA">
            <w:pPr>
              <w:pStyle w:val="BodyText"/>
              <w:rPr>
                <w:lang w:val="en-NZ"/>
              </w:rPr>
            </w:pPr>
            <w:r w:rsidRPr="007B02DA">
              <w:t>1.4</w:t>
            </w:r>
          </w:p>
        </w:tc>
        <w:tc>
          <w:tcPr>
            <w:tcW w:w="0" w:type="auto"/>
            <w:tcBorders>
              <w:top w:val="nil"/>
              <w:left w:val="nil"/>
              <w:bottom w:val="nil"/>
              <w:right w:val="nil"/>
            </w:tcBorders>
            <w:tcMar>
              <w:top w:w="0" w:type="dxa"/>
              <w:left w:w="62" w:type="dxa"/>
              <w:bottom w:w="0" w:type="dxa"/>
              <w:right w:w="62" w:type="dxa"/>
            </w:tcMar>
          </w:tcPr>
          <w:p w:rsidR="00000000" w:rsidP="007B02DA">
            <w:pPr>
              <w:pStyle w:val="BodyText"/>
              <w:rPr>
                <w:lang w:val="en-NZ"/>
              </w:rPr>
            </w:pPr>
            <w:r w:rsidRPr="007B02DA">
              <w:t>Motive power unit and rolling stock movement between section</w:t>
            </w:r>
            <w:r w:rsidRPr="007B02DA">
              <w:t>s is monitored and vehicles are positioned safely in accordance with relevant codes of practice, safeworking systems and related requirements</w:t>
            </w:r>
          </w:p>
        </w:tc>
      </w:tr>
      <w:tr w:rsidTr="00971102">
        <w:tblPrEx>
          <w:tblW w:w="0" w:type="auto"/>
          <w:tblCellMar>
            <w:left w:w="62" w:type="dxa"/>
            <w:right w:w="62" w:type="dxa"/>
          </w:tblCellMar>
          <w:tblLook w:val="0000"/>
        </w:tblPrEx>
        <w:trPr>
          <w:trHeight w:val="481"/>
        </w:trPr>
        <w:tc>
          <w:tcPr>
            <w:tcW w:w="0" w:type="auto"/>
            <w:vMerge w:val="restart"/>
            <w:tcBorders>
              <w:top w:val="nil"/>
              <w:left w:val="nil"/>
              <w:bottom w:val="nil"/>
              <w:right w:val="nil"/>
            </w:tcBorders>
            <w:tcMar>
              <w:top w:w="0" w:type="dxa"/>
              <w:left w:w="62" w:type="dxa"/>
              <w:bottom w:w="0" w:type="dxa"/>
              <w:right w:w="62" w:type="dxa"/>
            </w:tcMar>
          </w:tcPr>
          <w:p w:rsidR="00000000" w:rsidRPr="007B02DA" w:rsidP="007B02DA">
            <w:pPr>
              <w:pStyle w:val="BodyText"/>
            </w:pPr>
            <w:r w:rsidRPr="007B02DA">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7B02DA">
            <w:pPr>
              <w:pStyle w:val="BodyText"/>
              <w:rPr>
                <w:lang w:val="en-NZ"/>
              </w:rPr>
            </w:pPr>
            <w:r w:rsidRPr="007B02DA">
              <w:rPr>
                <w:rStyle w:val="SpecialBold"/>
              </w:rPr>
              <w:t>Operate and monitor on</w:t>
            </w:r>
            <w:r w:rsidRPr="007B02DA">
              <w:rPr>
                <w:rStyle w:val="SpecialBold"/>
              </w:rPr>
              <w:noBreakHyphen/>
              <w:t>board equipment</w:t>
            </w:r>
          </w:p>
        </w:tc>
        <w:tc>
          <w:tcPr>
            <w:tcW w:w="0" w:type="auto"/>
            <w:tcBorders>
              <w:top w:val="nil"/>
              <w:left w:val="nil"/>
              <w:bottom w:val="nil"/>
              <w:right w:val="nil"/>
            </w:tcBorders>
            <w:tcMar>
              <w:top w:w="0" w:type="dxa"/>
              <w:left w:w="62" w:type="dxa"/>
              <w:bottom w:w="0" w:type="dxa"/>
              <w:right w:w="62" w:type="dxa"/>
            </w:tcMar>
          </w:tcPr>
          <w:p w:rsidR="00000000" w:rsidP="007B02DA">
            <w:pPr>
              <w:pStyle w:val="BodyText"/>
              <w:rPr>
                <w:lang w:val="en-NZ"/>
              </w:rPr>
            </w:pPr>
            <w:r w:rsidRPr="007B02DA">
              <w:t>2.1</w:t>
            </w:r>
          </w:p>
        </w:tc>
        <w:tc>
          <w:tcPr>
            <w:tcW w:w="0" w:type="auto"/>
            <w:tcBorders>
              <w:top w:val="nil"/>
              <w:left w:val="nil"/>
              <w:bottom w:val="nil"/>
              <w:right w:val="nil"/>
            </w:tcBorders>
            <w:tcMar>
              <w:top w:w="0" w:type="dxa"/>
              <w:left w:w="62" w:type="dxa"/>
              <w:bottom w:w="0" w:type="dxa"/>
              <w:right w:w="62" w:type="dxa"/>
            </w:tcMar>
          </w:tcPr>
          <w:p w:rsidR="00000000" w:rsidP="007B02DA">
            <w:pPr>
              <w:pStyle w:val="BodyText"/>
              <w:rPr>
                <w:lang w:val="en-NZ"/>
              </w:rPr>
            </w:pPr>
            <w:r w:rsidRPr="007B02DA">
              <w:t>Motive power unit equipment is monitored and operated to maintain optimum running conditions and to identify faults, defects and deficiencies</w:t>
            </w:r>
          </w:p>
        </w:tc>
      </w:tr>
      <w:tr w:rsidTr="00971102">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B02DA">
            <w:pPr>
              <w:pStyle w:val="BodyText"/>
              <w:rPr>
                <w:lang w:val="en-NZ"/>
              </w:rPr>
            </w:pPr>
            <w:r w:rsidRPr="007B02DA">
              <w:t>2.2</w:t>
            </w:r>
          </w:p>
        </w:tc>
        <w:tc>
          <w:tcPr>
            <w:tcW w:w="0" w:type="auto"/>
            <w:tcBorders>
              <w:top w:val="nil"/>
              <w:left w:val="nil"/>
              <w:bottom w:val="nil"/>
              <w:right w:val="nil"/>
            </w:tcBorders>
            <w:tcMar>
              <w:top w:w="0" w:type="dxa"/>
              <w:left w:w="62" w:type="dxa"/>
              <w:bottom w:w="0" w:type="dxa"/>
              <w:right w:w="62" w:type="dxa"/>
            </w:tcMar>
          </w:tcPr>
          <w:p w:rsidR="00000000" w:rsidP="007B02DA">
            <w:pPr>
              <w:pStyle w:val="BodyText"/>
              <w:rPr>
                <w:lang w:val="en-NZ"/>
              </w:rPr>
            </w:pPr>
            <w:r w:rsidRPr="007B02DA">
              <w:t>Appropriate action is taken in response to identified faults, defects and deficiencies to ensure safe opera</w:t>
            </w:r>
            <w:r w:rsidRPr="007B02DA">
              <w:t>tion of motive power unit, including communications with Network Control Officer as required</w:t>
            </w:r>
          </w:p>
        </w:tc>
      </w:tr>
      <w:tr w:rsidTr="00971102">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B02DA">
            <w:pPr>
              <w:pStyle w:val="BodyText"/>
              <w:rPr>
                <w:lang w:val="en-NZ"/>
              </w:rPr>
            </w:pPr>
            <w:r w:rsidRPr="007B02DA">
              <w:t>2.3</w:t>
            </w:r>
          </w:p>
        </w:tc>
        <w:tc>
          <w:tcPr>
            <w:tcW w:w="0" w:type="auto"/>
            <w:tcBorders>
              <w:top w:val="nil"/>
              <w:left w:val="nil"/>
              <w:bottom w:val="nil"/>
              <w:right w:val="nil"/>
            </w:tcBorders>
            <w:tcMar>
              <w:top w:w="0" w:type="dxa"/>
              <w:left w:w="62" w:type="dxa"/>
              <w:bottom w:w="0" w:type="dxa"/>
              <w:right w:w="62" w:type="dxa"/>
            </w:tcMar>
          </w:tcPr>
          <w:p w:rsidR="00000000" w:rsidP="007B02DA">
            <w:pPr>
              <w:pStyle w:val="BodyText"/>
              <w:rPr>
                <w:lang w:val="en-NZ"/>
              </w:rPr>
            </w:pPr>
            <w:r w:rsidRPr="007B02DA">
              <w:t>Faults, defects and deficiencies are assessed to determine risk of damage to equipment or injury to personnel</w:t>
            </w:r>
          </w:p>
        </w:tc>
      </w:tr>
      <w:tr w:rsidTr="00971102">
        <w:tblPrEx>
          <w:tblW w:w="0" w:type="auto"/>
          <w:tblCellMar>
            <w:left w:w="62" w:type="dxa"/>
            <w:right w:w="62" w:type="dxa"/>
          </w:tblCellMar>
          <w:tblLook w:val="0000"/>
        </w:tblPrEx>
        <w:trPr>
          <w:trHeight w:val="481"/>
        </w:trPr>
        <w:tc>
          <w:tcPr>
            <w:tcW w:w="0" w:type="auto"/>
            <w:vMerge w:val="restart"/>
            <w:tcBorders>
              <w:top w:val="nil"/>
              <w:left w:val="nil"/>
              <w:bottom w:val="nil"/>
              <w:right w:val="nil"/>
            </w:tcBorders>
            <w:tcMar>
              <w:top w:w="0" w:type="dxa"/>
              <w:left w:w="62" w:type="dxa"/>
              <w:bottom w:w="0" w:type="dxa"/>
              <w:right w:w="62" w:type="dxa"/>
            </w:tcMar>
          </w:tcPr>
          <w:p w:rsidR="00000000" w:rsidRPr="007B02DA" w:rsidP="007B02DA">
            <w:pPr>
              <w:pStyle w:val="BodyText"/>
            </w:pPr>
            <w:r w:rsidRPr="007B02DA">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7B02DA">
            <w:pPr>
              <w:pStyle w:val="BodyText"/>
              <w:rPr>
                <w:lang w:val="en-NZ"/>
              </w:rPr>
            </w:pPr>
            <w:r w:rsidRPr="007B02DA">
              <w:rPr>
                <w:rStyle w:val="SpecialBold"/>
              </w:rPr>
              <w:t>Respond effectively to external operating factors</w:t>
            </w:r>
          </w:p>
        </w:tc>
        <w:tc>
          <w:tcPr>
            <w:tcW w:w="0" w:type="auto"/>
            <w:tcBorders>
              <w:top w:val="nil"/>
              <w:left w:val="nil"/>
              <w:bottom w:val="nil"/>
              <w:right w:val="nil"/>
            </w:tcBorders>
            <w:tcMar>
              <w:top w:w="0" w:type="dxa"/>
              <w:left w:w="62" w:type="dxa"/>
              <w:bottom w:w="0" w:type="dxa"/>
              <w:right w:w="62" w:type="dxa"/>
            </w:tcMar>
          </w:tcPr>
          <w:p w:rsidR="00000000" w:rsidP="007B02DA">
            <w:pPr>
              <w:pStyle w:val="BodyText"/>
              <w:rPr>
                <w:lang w:val="en-NZ"/>
              </w:rPr>
            </w:pPr>
            <w:r w:rsidRPr="007B02DA">
              <w:t>3.1</w:t>
            </w:r>
          </w:p>
        </w:tc>
        <w:tc>
          <w:tcPr>
            <w:tcW w:w="0" w:type="auto"/>
            <w:tcBorders>
              <w:top w:val="nil"/>
              <w:left w:val="nil"/>
              <w:bottom w:val="nil"/>
              <w:right w:val="nil"/>
            </w:tcBorders>
            <w:tcMar>
              <w:top w:w="0" w:type="dxa"/>
              <w:left w:w="62" w:type="dxa"/>
              <w:bottom w:w="0" w:type="dxa"/>
              <w:right w:w="62" w:type="dxa"/>
            </w:tcMar>
          </w:tcPr>
          <w:p w:rsidR="00000000" w:rsidP="007B02DA">
            <w:pPr>
              <w:pStyle w:val="BodyText"/>
              <w:rPr>
                <w:lang w:val="en-NZ"/>
              </w:rPr>
            </w:pPr>
            <w:r w:rsidRPr="007B02DA">
              <w:t>Instructions are verified as required, interpreted and followed, in accordance with relevant codes of practice, rail regulatory requirements and organisational policies and procedures, to ensure that ac</w:t>
            </w:r>
            <w:r w:rsidRPr="007B02DA">
              <w:t>tions taken are appropriate and safe</w:t>
            </w:r>
          </w:p>
        </w:tc>
      </w:tr>
      <w:tr w:rsidTr="00971102">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B02DA">
            <w:pPr>
              <w:pStyle w:val="BodyText"/>
              <w:rPr>
                <w:lang w:val="en-NZ"/>
              </w:rPr>
            </w:pPr>
            <w:r w:rsidRPr="007B02DA">
              <w:t>3.2</w:t>
            </w:r>
          </w:p>
        </w:tc>
        <w:tc>
          <w:tcPr>
            <w:tcW w:w="0" w:type="auto"/>
            <w:tcBorders>
              <w:top w:val="nil"/>
              <w:left w:val="nil"/>
              <w:bottom w:val="nil"/>
              <w:right w:val="nil"/>
            </w:tcBorders>
            <w:tcMar>
              <w:top w:w="0" w:type="dxa"/>
              <w:left w:w="62" w:type="dxa"/>
              <w:bottom w:w="0" w:type="dxa"/>
              <w:right w:w="62" w:type="dxa"/>
            </w:tcMar>
          </w:tcPr>
          <w:p w:rsidR="00000000" w:rsidP="007B02DA">
            <w:pPr>
              <w:pStyle w:val="BodyText"/>
              <w:rPr>
                <w:lang w:val="en-NZ"/>
              </w:rPr>
            </w:pPr>
            <w:r w:rsidRPr="007B02DA">
              <w:t xml:space="preserve">Fixed and hand signals, and verbal movement commands are interpreted and followed, in accordance with relevant codes of practice, safeworking systems and organisational policies and procedures, to ensure actions </w:t>
            </w:r>
            <w:r w:rsidRPr="007B02DA">
              <w:t>taken are appropriate and safe</w:t>
            </w:r>
          </w:p>
        </w:tc>
      </w:tr>
      <w:tr w:rsidTr="00971102">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B02DA">
            <w:pPr>
              <w:pStyle w:val="BodyText"/>
              <w:rPr>
                <w:lang w:val="en-NZ"/>
              </w:rPr>
            </w:pPr>
            <w:r w:rsidRPr="007B02DA">
              <w:t>3.3</w:t>
            </w:r>
          </w:p>
        </w:tc>
        <w:tc>
          <w:tcPr>
            <w:tcW w:w="0" w:type="auto"/>
            <w:tcBorders>
              <w:top w:val="nil"/>
              <w:left w:val="nil"/>
              <w:bottom w:val="nil"/>
              <w:right w:val="nil"/>
            </w:tcBorders>
            <w:tcMar>
              <w:top w:w="0" w:type="dxa"/>
              <w:left w:w="62" w:type="dxa"/>
              <w:bottom w:w="0" w:type="dxa"/>
              <w:right w:w="62" w:type="dxa"/>
            </w:tcMar>
          </w:tcPr>
          <w:p w:rsidR="00000000" w:rsidP="007B02DA">
            <w:pPr>
              <w:pStyle w:val="BodyText"/>
              <w:rPr>
                <w:lang w:val="en-NZ"/>
              </w:rPr>
            </w:pPr>
            <w:r w:rsidRPr="007B02DA">
              <w:t xml:space="preserve">Hazardous situations are recognised and interpreted and appropriate initiatives and action are taken to minimise risk to personnel and equipment </w:t>
            </w:r>
            <w:r w:rsidRPr="007B02DA">
              <w:t>in accordance with workplace procedures and applicable regulatory requirements</w:t>
            </w:r>
          </w:p>
        </w:tc>
      </w:tr>
      <w:tr w:rsidTr="00971102">
        <w:tblPrEx>
          <w:tblW w:w="0" w:type="auto"/>
          <w:tblCellMar>
            <w:left w:w="62" w:type="dxa"/>
            <w:right w:w="62" w:type="dxa"/>
          </w:tblCellMar>
          <w:tblLook w:val="0000"/>
        </w:tblPrEx>
        <w:trPr>
          <w:trHeight w:val="481"/>
        </w:trPr>
        <w:tc>
          <w:tcPr>
            <w:tcW w:w="0" w:type="auto"/>
            <w:vMerge w:val="restart"/>
            <w:tcBorders>
              <w:top w:val="nil"/>
              <w:left w:val="nil"/>
              <w:bottom w:val="nil"/>
              <w:right w:val="nil"/>
            </w:tcBorders>
            <w:tcMar>
              <w:top w:w="0" w:type="dxa"/>
              <w:left w:w="62" w:type="dxa"/>
              <w:bottom w:w="0" w:type="dxa"/>
              <w:right w:w="62" w:type="dxa"/>
            </w:tcMar>
          </w:tcPr>
          <w:p w:rsidR="00000000" w:rsidRPr="007B02DA" w:rsidP="007B02DA">
            <w:pPr>
              <w:pStyle w:val="BodyText"/>
            </w:pPr>
            <w:r w:rsidRPr="007B02DA">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7B02DA">
            <w:pPr>
              <w:pStyle w:val="BodyText"/>
              <w:rPr>
                <w:lang w:val="en-NZ"/>
              </w:rPr>
            </w:pPr>
            <w:r w:rsidRPr="007B02DA">
              <w:rPr>
                <w:rStyle w:val="SpecialBold"/>
              </w:rPr>
              <w:t xml:space="preserve">Work collaboratively </w:t>
            </w:r>
          </w:p>
        </w:tc>
        <w:tc>
          <w:tcPr>
            <w:tcW w:w="0" w:type="auto"/>
            <w:tcBorders>
              <w:top w:val="nil"/>
              <w:left w:val="nil"/>
              <w:bottom w:val="nil"/>
              <w:right w:val="nil"/>
            </w:tcBorders>
            <w:tcMar>
              <w:top w:w="0" w:type="dxa"/>
              <w:left w:w="62" w:type="dxa"/>
              <w:bottom w:w="0" w:type="dxa"/>
              <w:right w:w="62" w:type="dxa"/>
            </w:tcMar>
          </w:tcPr>
          <w:p w:rsidR="00000000" w:rsidP="007B02DA">
            <w:pPr>
              <w:pStyle w:val="BodyText"/>
              <w:rPr>
                <w:lang w:val="en-NZ"/>
              </w:rPr>
            </w:pPr>
            <w:r w:rsidRPr="007B02DA">
              <w:t>4.1</w:t>
            </w:r>
          </w:p>
        </w:tc>
        <w:tc>
          <w:tcPr>
            <w:tcW w:w="0" w:type="auto"/>
            <w:tcBorders>
              <w:top w:val="nil"/>
              <w:left w:val="nil"/>
              <w:bottom w:val="nil"/>
              <w:right w:val="nil"/>
            </w:tcBorders>
            <w:tcMar>
              <w:top w:w="0" w:type="dxa"/>
              <w:left w:w="62" w:type="dxa"/>
              <w:bottom w:w="0" w:type="dxa"/>
              <w:right w:w="62" w:type="dxa"/>
            </w:tcMar>
          </w:tcPr>
          <w:p w:rsidR="00000000" w:rsidP="007B02DA">
            <w:pPr>
              <w:pStyle w:val="BodyText"/>
              <w:rPr>
                <w:lang w:val="en-NZ"/>
              </w:rPr>
            </w:pPr>
            <w:r w:rsidRPr="007B02DA">
              <w:t>Safe operation and monitoring of motive power unit is maintained in collaboration with relevant personnel, in accordance with workplace procedures a</w:t>
            </w:r>
            <w:r w:rsidRPr="007B02DA">
              <w:t>nd applicable regulatory requirements</w:t>
            </w:r>
          </w:p>
        </w:tc>
      </w:tr>
      <w:tr w:rsidTr="00971102">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B02DA">
            <w:pPr>
              <w:pStyle w:val="BodyText"/>
              <w:rPr>
                <w:lang w:val="en-NZ"/>
              </w:rPr>
            </w:pPr>
            <w:r w:rsidRPr="007B02DA">
              <w:t>4.2</w:t>
            </w:r>
          </w:p>
        </w:tc>
        <w:tc>
          <w:tcPr>
            <w:tcW w:w="0" w:type="auto"/>
            <w:tcBorders>
              <w:top w:val="nil"/>
              <w:left w:val="nil"/>
              <w:bottom w:val="nil"/>
              <w:right w:val="nil"/>
            </w:tcBorders>
            <w:tcMar>
              <w:top w:w="0" w:type="dxa"/>
              <w:left w:w="62" w:type="dxa"/>
              <w:bottom w:w="0" w:type="dxa"/>
              <w:right w:w="62" w:type="dxa"/>
            </w:tcMar>
          </w:tcPr>
          <w:p w:rsidR="00000000" w:rsidP="007B02DA">
            <w:pPr>
              <w:pStyle w:val="BodyText"/>
              <w:rPr>
                <w:lang w:val="en-NZ"/>
              </w:rPr>
            </w:pPr>
            <w:r w:rsidRPr="007B02DA">
              <w:t>Potential or actual conflicts or grievances with train crew, Network Control Officer and other relevant personnel when operating motive power unit are recognised and resolved, in accordance with workplace proced</w:t>
            </w:r>
            <w:r w:rsidRPr="007B02DA">
              <w:t>ures</w:t>
            </w:r>
          </w:p>
        </w:tc>
      </w:tr>
      <w:tr w:rsidTr="00971102">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B02DA">
            <w:pPr>
              <w:pStyle w:val="BodyText"/>
              <w:rPr>
                <w:lang w:val="en-NZ"/>
              </w:rPr>
            </w:pPr>
            <w:r w:rsidRPr="007B02DA">
              <w:t>4.3</w:t>
            </w:r>
          </w:p>
        </w:tc>
        <w:tc>
          <w:tcPr>
            <w:tcW w:w="0" w:type="auto"/>
            <w:tcBorders>
              <w:top w:val="nil"/>
              <w:left w:val="nil"/>
              <w:bottom w:val="nil"/>
              <w:right w:val="nil"/>
            </w:tcBorders>
            <w:tcMar>
              <w:top w:w="0" w:type="dxa"/>
              <w:left w:w="62" w:type="dxa"/>
              <w:bottom w:w="0" w:type="dxa"/>
              <w:right w:w="62" w:type="dxa"/>
            </w:tcMar>
          </w:tcPr>
          <w:p w:rsidR="00000000" w:rsidP="007B02DA">
            <w:pPr>
              <w:pStyle w:val="BodyText"/>
              <w:rPr>
                <w:lang w:val="en-NZ"/>
              </w:rPr>
            </w:pPr>
            <w:r w:rsidRPr="007B02DA">
              <w:t>Rail resource management principles are applied as required in all rail operations involving motive power unit, in accordance with workplace procedures</w:t>
            </w:r>
          </w:p>
        </w:tc>
      </w:tr>
      <w:tr w:rsidTr="00971102">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B02DA">
            <w:pPr>
              <w:pStyle w:val="BodyText"/>
              <w:rPr>
                <w:lang w:val="en-NZ"/>
              </w:rPr>
            </w:pPr>
            <w:r w:rsidRPr="007B02DA">
              <w:t>4.4</w:t>
            </w:r>
          </w:p>
        </w:tc>
        <w:tc>
          <w:tcPr>
            <w:tcW w:w="0" w:type="auto"/>
            <w:tcBorders>
              <w:top w:val="nil"/>
              <w:left w:val="nil"/>
              <w:bottom w:val="nil"/>
              <w:right w:val="nil"/>
            </w:tcBorders>
            <w:tcMar>
              <w:top w:w="0" w:type="dxa"/>
              <w:left w:w="62" w:type="dxa"/>
              <w:bottom w:w="0" w:type="dxa"/>
              <w:right w:w="62" w:type="dxa"/>
            </w:tcMar>
          </w:tcPr>
          <w:p w:rsidR="00000000" w:rsidP="007B02DA">
            <w:pPr>
              <w:pStyle w:val="BodyText"/>
              <w:rPr>
                <w:lang w:val="en-NZ"/>
              </w:rPr>
            </w:pPr>
            <w:r w:rsidRPr="007B02DA">
              <w:t>Regular communication is maintained with train crew, Network Control Officer, drivers of other trains and other relevant personnel when operating motive power unit, in accordance with workplace procedures and regulatory requirements</w:t>
            </w:r>
          </w:p>
        </w:tc>
      </w:tr>
      <w:tr w:rsidTr="00971102">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B02DA">
            <w:pPr>
              <w:pStyle w:val="BodyText"/>
              <w:rPr>
                <w:lang w:val="en-NZ"/>
              </w:rPr>
            </w:pPr>
            <w:r w:rsidRPr="007B02DA">
              <w:t>4.5</w:t>
            </w:r>
          </w:p>
        </w:tc>
        <w:tc>
          <w:tcPr>
            <w:tcW w:w="0" w:type="auto"/>
            <w:tcBorders>
              <w:top w:val="nil"/>
              <w:left w:val="nil"/>
              <w:bottom w:val="nil"/>
              <w:right w:val="nil"/>
            </w:tcBorders>
            <w:tcMar>
              <w:top w:w="0" w:type="dxa"/>
              <w:left w:w="62" w:type="dxa"/>
              <w:bottom w:w="0" w:type="dxa"/>
              <w:right w:w="62" w:type="dxa"/>
            </w:tcMar>
          </w:tcPr>
          <w:p w:rsidR="00000000" w:rsidP="007B02DA">
            <w:pPr>
              <w:pStyle w:val="BodyText"/>
              <w:rPr>
                <w:lang w:val="en-NZ"/>
              </w:rPr>
            </w:pPr>
            <w:r w:rsidRPr="007B02DA">
              <w:t>Train crew, Netw</w:t>
            </w:r>
            <w:r w:rsidRPr="007B02DA">
              <w:t xml:space="preserve">ork Control Officer, drivers of other trains and other relevant personnel are advised of operational problems, delays, and safety incident and emergency situations </w:t>
            </w:r>
          </w:p>
        </w:tc>
      </w:tr>
      <w:tr w:rsidTr="00971102">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B02DA">
            <w:pPr>
              <w:pStyle w:val="BodyText"/>
              <w:rPr>
                <w:lang w:val="en-NZ"/>
              </w:rPr>
            </w:pPr>
            <w:r w:rsidRPr="007B02DA">
              <w:t>4.6</w:t>
            </w:r>
          </w:p>
        </w:tc>
        <w:tc>
          <w:tcPr>
            <w:tcW w:w="0" w:type="auto"/>
            <w:tcBorders>
              <w:top w:val="nil"/>
              <w:left w:val="nil"/>
              <w:bottom w:val="nil"/>
              <w:right w:val="nil"/>
            </w:tcBorders>
            <w:tcMar>
              <w:top w:w="0" w:type="dxa"/>
              <w:left w:w="62" w:type="dxa"/>
              <w:bottom w:w="0" w:type="dxa"/>
              <w:right w:w="62" w:type="dxa"/>
            </w:tcMar>
          </w:tcPr>
          <w:p w:rsidR="00000000" w:rsidP="007B02DA">
            <w:pPr>
              <w:pStyle w:val="BodyText"/>
              <w:rPr>
                <w:lang w:val="en-NZ"/>
              </w:rPr>
            </w:pPr>
            <w:r w:rsidRPr="007B02DA">
              <w:t>Information provided by train crew, Network Control Officer, drivers of other trains</w:t>
            </w:r>
            <w:r w:rsidRPr="007B02DA">
              <w:t xml:space="preserve"> and other relevant personnel relevant to ongoing operation of motive power unit is interpreted and applied to driving activities, in accordance with workplace procedures and applicable regulatory requirements</w:t>
            </w:r>
          </w:p>
        </w:tc>
      </w:tr>
      <w:tr w:rsidTr="00971102">
        <w:tblPrEx>
          <w:tblW w:w="0" w:type="auto"/>
          <w:tblCellMar>
            <w:left w:w="62" w:type="dxa"/>
            <w:right w:w="62" w:type="dxa"/>
          </w:tblCellMar>
          <w:tblLook w:val="0000"/>
        </w:tblPrEx>
        <w:trPr>
          <w:trHeight w:val="481"/>
        </w:trPr>
        <w:tc>
          <w:tcPr>
            <w:tcW w:w="0" w:type="auto"/>
            <w:vMerge w:val="restart"/>
            <w:tcBorders>
              <w:top w:val="nil"/>
              <w:left w:val="nil"/>
              <w:bottom w:val="nil"/>
              <w:right w:val="nil"/>
            </w:tcBorders>
            <w:tcMar>
              <w:top w:w="0" w:type="dxa"/>
              <w:left w:w="62" w:type="dxa"/>
              <w:bottom w:w="0" w:type="dxa"/>
              <w:right w:w="62" w:type="dxa"/>
            </w:tcMar>
          </w:tcPr>
          <w:p w:rsidR="00000000" w:rsidRPr="007B02DA" w:rsidP="007B02DA">
            <w:pPr>
              <w:pStyle w:val="BodyText"/>
            </w:pPr>
            <w:r w:rsidRPr="007B02DA">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7B02DA">
            <w:pPr>
              <w:pStyle w:val="BodyText"/>
              <w:rPr>
                <w:lang w:val="en-NZ"/>
              </w:rPr>
            </w:pPr>
            <w:r w:rsidRPr="007B02DA">
              <w:rPr>
                <w:rStyle w:val="SpecialBold"/>
              </w:rPr>
              <w:t>Follow all applicable rail regulatory requi</w:t>
            </w:r>
            <w:r w:rsidRPr="007B02DA">
              <w:rPr>
                <w:rStyle w:val="SpecialBold"/>
              </w:rPr>
              <w:t>rements</w:t>
            </w:r>
          </w:p>
        </w:tc>
        <w:tc>
          <w:tcPr>
            <w:tcW w:w="0" w:type="auto"/>
            <w:tcBorders>
              <w:top w:val="nil"/>
              <w:left w:val="nil"/>
              <w:bottom w:val="nil"/>
              <w:right w:val="nil"/>
            </w:tcBorders>
            <w:tcMar>
              <w:top w:w="0" w:type="dxa"/>
              <w:left w:w="62" w:type="dxa"/>
              <w:bottom w:w="0" w:type="dxa"/>
              <w:right w:w="62" w:type="dxa"/>
            </w:tcMar>
          </w:tcPr>
          <w:p w:rsidR="00000000" w:rsidP="007B02DA">
            <w:pPr>
              <w:pStyle w:val="BodyText"/>
              <w:rPr>
                <w:lang w:val="en-NZ"/>
              </w:rPr>
            </w:pPr>
            <w:r w:rsidRPr="007B02DA">
              <w:t>5.1</w:t>
            </w:r>
          </w:p>
        </w:tc>
        <w:tc>
          <w:tcPr>
            <w:tcW w:w="0" w:type="auto"/>
            <w:tcBorders>
              <w:top w:val="nil"/>
              <w:left w:val="nil"/>
              <w:bottom w:val="nil"/>
              <w:right w:val="nil"/>
            </w:tcBorders>
            <w:tcMar>
              <w:top w:w="0" w:type="dxa"/>
              <w:left w:w="62" w:type="dxa"/>
              <w:bottom w:w="0" w:type="dxa"/>
              <w:right w:w="62" w:type="dxa"/>
            </w:tcMar>
          </w:tcPr>
          <w:p w:rsidR="00000000" w:rsidP="007B02DA">
            <w:pPr>
              <w:pStyle w:val="BodyText"/>
              <w:rPr>
                <w:lang w:val="en-NZ"/>
              </w:rPr>
            </w:pPr>
            <w:r w:rsidRPr="007B02DA">
              <w:t>Rail regulatory requirements applicable to  operating motive power unit, and train and track or road concerned are accessed, clarified as required and interpreted</w:t>
            </w:r>
          </w:p>
        </w:tc>
      </w:tr>
      <w:tr w:rsidTr="00971102">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B02DA">
            <w:pPr>
              <w:pStyle w:val="BodyText"/>
              <w:rPr>
                <w:lang w:val="en-NZ"/>
              </w:rPr>
            </w:pPr>
            <w:r w:rsidRPr="007B02DA">
              <w:t>5.2</w:t>
            </w:r>
          </w:p>
        </w:tc>
        <w:tc>
          <w:tcPr>
            <w:tcW w:w="0" w:type="auto"/>
            <w:tcBorders>
              <w:top w:val="nil"/>
              <w:left w:val="nil"/>
              <w:bottom w:val="nil"/>
              <w:right w:val="nil"/>
            </w:tcBorders>
            <w:tcMar>
              <w:top w:w="0" w:type="dxa"/>
              <w:left w:w="62" w:type="dxa"/>
              <w:bottom w:w="0" w:type="dxa"/>
              <w:right w:w="62" w:type="dxa"/>
            </w:tcMar>
          </w:tcPr>
          <w:p w:rsidR="00000000" w:rsidP="007B02DA">
            <w:pPr>
              <w:pStyle w:val="BodyText"/>
              <w:rPr>
                <w:lang w:val="en-NZ"/>
              </w:rPr>
            </w:pPr>
            <w:r w:rsidRPr="007B02DA">
              <w:t>Relevant rail regulatory requirements are appli</w:t>
            </w:r>
            <w:r w:rsidRPr="007B02DA">
              <w:t>ed and followed when operating motive power unit</w:t>
            </w:r>
          </w:p>
        </w:tc>
      </w:tr>
      <w:tr w:rsidTr="00971102">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B02DA">
            <w:pPr>
              <w:pStyle w:val="BodyText"/>
              <w:rPr>
                <w:lang w:val="en-NZ"/>
              </w:rPr>
            </w:pPr>
            <w:r w:rsidRPr="007B02DA">
              <w:t>5.3</w:t>
            </w:r>
          </w:p>
        </w:tc>
        <w:tc>
          <w:tcPr>
            <w:tcW w:w="0" w:type="auto"/>
            <w:tcBorders>
              <w:top w:val="nil"/>
              <w:left w:val="nil"/>
              <w:bottom w:val="nil"/>
              <w:right w:val="nil"/>
            </w:tcBorders>
            <w:tcMar>
              <w:top w:w="0" w:type="dxa"/>
              <w:left w:w="62" w:type="dxa"/>
              <w:bottom w:w="0" w:type="dxa"/>
              <w:right w:w="62" w:type="dxa"/>
            </w:tcMar>
          </w:tcPr>
          <w:p w:rsidR="00000000" w:rsidRPr="007B02DA" w:rsidP="007B02DA">
            <w:pPr>
              <w:pStyle w:val="BodyText"/>
            </w:pPr>
            <w:r w:rsidRPr="007B02DA">
              <w:t>Rail resource management principles are applied in all rail operations involving motive power unit in accordance with workplace procedures and applicable rail regulatory requirements</w:t>
            </w:r>
          </w:p>
        </w:tc>
      </w:tr>
    </w:tbl>
    <w:p w:rsidR="00971102" w:rsidP="007B02DA">
      <w:pPr>
        <w:pStyle w:val="BodyText"/>
      </w:pPr>
    </w:p>
    <w:p w:rsidR="00971102" w:rsidP="007B02DA">
      <w:pPr>
        <w:pStyle w:val="BodyText"/>
      </w:pPr>
    </w:p>
    <w:p w:rsidR="00000000" w:rsidRPr="007B02DA" w:rsidP="007B02DA">
      <w:pPr>
        <w:pStyle w:val="Heading1"/>
      </w:pPr>
      <w:bookmarkStart w:id="7" w:name="O_751171"/>
      <w:bookmarkEnd w:id="7"/>
      <w:r w:rsidRPr="007B02DA">
        <w:t>Foundation Skills</w:t>
      </w:r>
    </w:p>
    <w:p w:rsidR="00971102" w:rsidP="00971102">
      <w:pPr>
        <w:pStyle w:val="BodyText"/>
      </w:pPr>
      <w:r w:rsidRPr="007B02DA">
        <w:t>Foundation skills essential to performance are explicit in the performance criteria of this unit of competency.</w:t>
      </w:r>
    </w:p>
    <w:p w:rsidR="00000000" w:rsidRPr="007B02DA" w:rsidP="007B02DA">
      <w:pPr>
        <w:pStyle w:val="Heading1"/>
      </w:pPr>
      <w:bookmarkStart w:id="8" w:name="O_751172"/>
      <w:bookmarkEnd w:id="8"/>
      <w:r w:rsidRPr="007B02DA">
        <w:t>Range of Conditions</w:t>
      </w:r>
    </w:p>
    <w:tbl>
      <w:tblPr>
        <w:tblW w:w="0" w:type="auto"/>
        <w:tblCellMar>
          <w:left w:w="62" w:type="dxa"/>
          <w:right w:w="62" w:type="dxa"/>
        </w:tblCellMar>
        <w:tblLook w:val="0000"/>
      </w:tblPr>
      <w:tblGrid>
        <w:gridCol w:w="9196"/>
      </w:tblGrid>
      <w:tr w:rsidTr="009711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B02DA" w:rsidP="007B02DA">
            <w:pPr>
              <w:pStyle w:val="BodyText"/>
            </w:pPr>
            <w:r w:rsidRPr="007B02DA">
              <w:t>Range is restricted to essential operating conditions and any other variables es</w:t>
            </w:r>
            <w:r w:rsidRPr="007B02DA">
              <w:t>sential to the work environment.</w:t>
            </w:r>
          </w:p>
          <w:p w:rsidR="00000000" w:rsidRPr="007B02DA" w:rsidP="007B02DA">
            <w:pPr>
              <w:pStyle w:val="BodyText"/>
            </w:pPr>
            <w:r w:rsidRPr="007B02DA">
              <w:t>Non-essential conditions can be found in the Companion Volume Implementation Guide.</w:t>
            </w:r>
          </w:p>
        </w:tc>
      </w:tr>
    </w:tbl>
    <w:p w:rsidR="00971102" w:rsidP="007B02DA">
      <w:pPr>
        <w:pStyle w:val="BodyText"/>
      </w:pPr>
    </w:p>
    <w:p w:rsidR="00971102" w:rsidP="007B02DA">
      <w:pPr>
        <w:pStyle w:val="BodyText"/>
      </w:pPr>
    </w:p>
    <w:p w:rsidR="00000000" w:rsidRPr="007B02DA" w:rsidP="007B02DA">
      <w:pPr>
        <w:pStyle w:val="Heading1"/>
      </w:pPr>
      <w:bookmarkStart w:id="9" w:name="O_751173"/>
      <w:bookmarkEnd w:id="9"/>
      <w:r w:rsidRPr="007B02DA">
        <w:t>Unit Mapping Information</w:t>
      </w:r>
    </w:p>
    <w:p w:rsidR="00971102" w:rsidP="00971102">
      <w:pPr>
        <w:pStyle w:val="BodyText"/>
      </w:pPr>
      <w:r w:rsidRPr="007B02DA">
        <w:t>This unit replaces and is equivalent to TLIC4026A Operate and monitor a motive power unit.</w:t>
      </w:r>
    </w:p>
    <w:p w:rsidR="00000000" w:rsidRPr="007B02DA" w:rsidP="007B02DA">
      <w:pPr>
        <w:pStyle w:val="Heading1"/>
      </w:pPr>
      <w:bookmarkStart w:id="10" w:name="O_751180"/>
      <w:bookmarkEnd w:id="10"/>
      <w:r w:rsidRPr="007B02DA">
        <w:t>Links</w:t>
      </w:r>
    </w:p>
    <w:p w:rsidR="00000000" w:rsidRPr="007B02DA" w:rsidP="00971102">
      <w:pPr>
        <w:pStyle w:val="BodyText"/>
      </w:pPr>
      <w:r w:rsidRPr="007B02D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61861">
        <w:rPr>
          <w:rStyle w:val="Hyperlink"/>
        </w:rPr>
        <w:t>https://vetnet.gov.au/Pages/TrainingDocs.aspx?q=df441c6e-213d-43e3-874c-0b3f7036d851</w:t>
      </w:r>
      <w:r>
        <w:fldChar w:fldCharType="end"/>
      </w:r>
    </w:p>
    <w:p w:rsidR="00000000" w:rsidRPr="007B02DA" w:rsidP="007B02DA"/>
    <w:sectPr w:rsidSect="007B02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2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2DA" w:rsidRPr="00971102" w:rsidP="009711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2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102" w:rsidP="007B02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1102" w:rsidP="007B02D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71102" w:rsidP="007B02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2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1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02DA" w:rsidRPr="00971102" w:rsidP="009711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2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102" w:rsidRPr="002D2AF8" w:rsidP="007B02DA">
    <w:pPr>
      <w:pStyle w:val="Header"/>
      <w:framePr w:wrap="around"/>
    </w:pPr>
    <w:r>
      <w:fldChar w:fldCharType="begin"/>
    </w:r>
    <w:r>
      <w:instrText xml:space="preserve"> TITLE   \* MERGEFORMAT </w:instrText>
    </w:r>
    <w:r>
      <w:fldChar w:fldCharType="separate"/>
    </w:r>
    <w:r>
      <w:t>TLIC4026 Operate and monitor a motive power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971102" w:rsidP="007B02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2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02DA"/>
    <w:pPr>
      <w:spacing w:before="360" w:after="60"/>
      <w:outlineLvl w:val="0"/>
    </w:pPr>
    <w:rPr>
      <w:sz w:val="32"/>
    </w:rPr>
  </w:style>
  <w:style w:type="paragraph" w:styleId="Heading2">
    <w:name w:val="heading 2"/>
    <w:basedOn w:val="HeadingBase"/>
    <w:next w:val="BodyText"/>
    <w:link w:val="Heading2Char"/>
    <w:qFormat/>
    <w:rsid w:val="007B02DA"/>
    <w:pPr>
      <w:keepLines/>
      <w:spacing w:before="240" w:after="120"/>
      <w:outlineLvl w:val="1"/>
    </w:pPr>
    <w:rPr>
      <w:sz w:val="28"/>
      <w:szCs w:val="40"/>
    </w:rPr>
  </w:style>
  <w:style w:type="paragraph" w:styleId="Heading3">
    <w:name w:val="heading 3"/>
    <w:basedOn w:val="HeadingBase"/>
    <w:next w:val="BodyText"/>
    <w:link w:val="Heading3Char"/>
    <w:qFormat/>
    <w:rsid w:val="007B02DA"/>
    <w:pPr>
      <w:spacing w:before="180" w:after="120"/>
      <w:outlineLvl w:val="2"/>
    </w:pPr>
    <w:rPr>
      <w:spacing w:val="-10"/>
      <w:kern w:val="32"/>
    </w:rPr>
  </w:style>
  <w:style w:type="paragraph" w:styleId="Heading4">
    <w:name w:val="heading 4"/>
    <w:basedOn w:val="HeadingBase"/>
    <w:next w:val="BodyText"/>
    <w:link w:val="Heading4Char"/>
    <w:qFormat/>
    <w:rsid w:val="007B02DA"/>
    <w:pPr>
      <w:spacing w:before="160" w:after="120"/>
      <w:outlineLvl w:val="3"/>
    </w:pPr>
    <w:rPr>
      <w:sz w:val="22"/>
    </w:rPr>
  </w:style>
  <w:style w:type="paragraph" w:styleId="Heading5">
    <w:name w:val="heading 5"/>
    <w:basedOn w:val="HeadingBase"/>
    <w:next w:val="Normal"/>
    <w:link w:val="Heading5Char"/>
    <w:qFormat/>
    <w:rsid w:val="007B02DA"/>
    <w:pPr>
      <w:spacing w:before="80"/>
      <w:outlineLvl w:val="4"/>
    </w:pPr>
    <w:rPr>
      <w:color w:val="918585"/>
      <w:sz w:val="20"/>
    </w:rPr>
  </w:style>
  <w:style w:type="paragraph" w:styleId="Heading6">
    <w:name w:val="heading 6"/>
    <w:basedOn w:val="HeadingBase"/>
    <w:next w:val="Normal"/>
    <w:link w:val="Heading6Char"/>
    <w:qFormat/>
    <w:rsid w:val="007B02DA"/>
    <w:pPr>
      <w:spacing w:before="60"/>
      <w:outlineLvl w:val="5"/>
    </w:pPr>
    <w:rPr>
      <w:color w:val="918585"/>
      <w:sz w:val="20"/>
    </w:rPr>
  </w:style>
  <w:style w:type="paragraph" w:styleId="Heading7">
    <w:name w:val="heading 7"/>
    <w:basedOn w:val="Normal"/>
    <w:next w:val="Normal"/>
    <w:link w:val="Heading7Char"/>
    <w:qFormat/>
    <w:rsid w:val="007B02DA"/>
    <w:pPr>
      <w:ind w:left="720"/>
      <w:outlineLvl w:val="6"/>
    </w:pPr>
    <w:rPr>
      <w:i/>
    </w:rPr>
  </w:style>
  <w:style w:type="paragraph" w:styleId="Heading8">
    <w:name w:val="heading 8"/>
    <w:basedOn w:val="Normal"/>
    <w:next w:val="Normal"/>
    <w:link w:val="Heading8Char"/>
    <w:qFormat/>
    <w:rsid w:val="007B02DA"/>
    <w:pPr>
      <w:ind w:left="720"/>
      <w:outlineLvl w:val="7"/>
    </w:pPr>
    <w:rPr>
      <w:i/>
    </w:rPr>
  </w:style>
  <w:style w:type="paragraph" w:styleId="Heading9">
    <w:name w:val="heading 9"/>
    <w:basedOn w:val="Normal"/>
    <w:next w:val="Normal"/>
    <w:link w:val="Heading9Char"/>
    <w:qFormat/>
    <w:rsid w:val="007B02DA"/>
    <w:pPr>
      <w:ind w:left="720"/>
      <w:outlineLvl w:val="8"/>
    </w:pPr>
    <w:rPr>
      <w:i/>
    </w:rPr>
  </w:style>
  <w:style w:type="character" w:default="1" w:styleId="DefaultParagraphFont">
    <w:name w:val="Default Paragraph Font"/>
    <w:uiPriority w:val="1"/>
    <w:unhideWhenUsed/>
    <w:rsid w:val="007B02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02DA"/>
  </w:style>
  <w:style w:type="character" w:customStyle="1" w:styleId="Heading1Char">
    <w:name w:val="Heading 1 Char"/>
    <w:basedOn w:val="DefaultParagraphFont"/>
    <w:link w:val="Heading1"/>
    <w:rsid w:val="007B02DA"/>
    <w:rPr>
      <w:rFonts w:ascii="Times New Roman" w:eastAsia="Times New Roman" w:hAnsi="Times New Roman" w:cs="Times New Roman"/>
      <w:b/>
      <w:sz w:val="32"/>
      <w:szCs w:val="20"/>
      <w:lang w:eastAsia="en-US"/>
    </w:rPr>
  </w:style>
  <w:style w:type="paragraph" w:styleId="BodyText">
    <w:name w:val="Body Text"/>
    <w:basedOn w:val="Normal"/>
    <w:link w:val="BodyTextChar"/>
    <w:rsid w:val="007B02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02DA"/>
    <w:rPr>
      <w:rFonts w:ascii="Times New Roman" w:eastAsia="Times New Roman" w:hAnsi="Times New Roman" w:cs="Times New Roman"/>
      <w:sz w:val="24"/>
      <w:lang w:eastAsia="en-US"/>
    </w:rPr>
  </w:style>
  <w:style w:type="character" w:customStyle="1" w:styleId="SpecialBold">
    <w:name w:val="Special Bold"/>
    <w:basedOn w:val="DefaultParagraphFont"/>
    <w:rsid w:val="007B02DA"/>
    <w:rPr>
      <w:b/>
      <w:spacing w:val="0"/>
    </w:rPr>
  </w:style>
  <w:style w:type="paragraph" w:customStyle="1" w:styleId="SuperHeading">
    <w:name w:val="SuperHeading"/>
    <w:basedOn w:val="Normal"/>
    <w:rsid w:val="007B02DA"/>
    <w:pPr>
      <w:spacing w:before="240" w:after="120"/>
      <w:outlineLvl w:val="0"/>
    </w:pPr>
    <w:rPr>
      <w:rFonts w:ascii="Times New Roman" w:hAnsi="Times New Roman"/>
      <w:b/>
      <w:sz w:val="32"/>
    </w:rPr>
  </w:style>
  <w:style w:type="paragraph" w:customStyle="1" w:styleId="AllowPageBreak">
    <w:name w:val="AllowPageBreak"/>
    <w:rsid w:val="007B02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02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02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02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02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02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02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02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02DA"/>
    <w:rPr>
      <w:rFonts w:ascii="Courier New" w:eastAsia="Times New Roman" w:hAnsi="Courier New" w:cs="Times New Roman"/>
      <w:i/>
      <w:szCs w:val="20"/>
      <w:lang w:eastAsia="en-US"/>
    </w:rPr>
  </w:style>
  <w:style w:type="paragraph" w:customStyle="1" w:styleId="HeadingBase">
    <w:name w:val="Heading Base"/>
    <w:rsid w:val="007B02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02DA"/>
    <w:pPr>
      <w:tabs>
        <w:tab w:val="right" w:leader="dot" w:pos="9072"/>
      </w:tabs>
      <w:ind w:left="567"/>
    </w:pPr>
    <w:rPr>
      <w:szCs w:val="22"/>
    </w:rPr>
  </w:style>
  <w:style w:type="paragraph" w:customStyle="1" w:styleId="TOCBase">
    <w:name w:val="TOC Base"/>
    <w:rsid w:val="007B02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02DA"/>
    <w:pPr>
      <w:tabs>
        <w:tab w:val="right" w:leader="dot" w:pos="9072"/>
      </w:tabs>
      <w:spacing w:before="40" w:after="40"/>
      <w:ind w:left="284"/>
    </w:pPr>
    <w:rPr>
      <w:rFonts w:ascii="Times New Roman" w:hAnsi="Times New Roman"/>
    </w:rPr>
  </w:style>
  <w:style w:type="paragraph" w:styleId="TOC1">
    <w:name w:val="toc 1"/>
    <w:basedOn w:val="TOCBase"/>
    <w:next w:val="Normal"/>
    <w:rsid w:val="007B02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02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02DA"/>
    <w:rPr>
      <w:rFonts w:ascii="Times New Roman" w:eastAsia="Times New Roman" w:hAnsi="Times New Roman" w:cs="Times New Roman"/>
      <w:sz w:val="16"/>
      <w:lang w:eastAsia="en-US"/>
    </w:rPr>
  </w:style>
  <w:style w:type="paragraph" w:styleId="Title">
    <w:name w:val="Title"/>
    <w:basedOn w:val="HeadingBase"/>
    <w:link w:val="TitleChar"/>
    <w:qFormat/>
    <w:rsid w:val="007B02DA"/>
    <w:pPr>
      <w:spacing w:before="5040"/>
      <w:jc w:val="center"/>
    </w:pPr>
    <w:rPr>
      <w:sz w:val="48"/>
      <w:szCs w:val="72"/>
      <w:lang w:val="en-US"/>
    </w:rPr>
  </w:style>
  <w:style w:type="character" w:customStyle="1" w:styleId="TitleChar">
    <w:name w:val="Title Char"/>
    <w:basedOn w:val="DefaultParagraphFont"/>
    <w:link w:val="Title"/>
    <w:rsid w:val="007B02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02DA"/>
    <w:pPr>
      <w:tabs>
        <w:tab w:val="left" w:pos="3600"/>
        <w:tab w:val="left" w:pos="3958"/>
      </w:tabs>
    </w:pPr>
  </w:style>
  <w:style w:type="paragraph" w:styleId="List">
    <w:name w:val="List"/>
    <w:basedOn w:val="BodyText"/>
    <w:next w:val="BodyText"/>
    <w:rsid w:val="007B02DA"/>
    <w:pPr>
      <w:tabs>
        <w:tab w:val="left" w:pos="340"/>
      </w:tabs>
      <w:spacing w:before="60" w:after="60"/>
      <w:ind w:left="340" w:hanging="340"/>
    </w:pPr>
  </w:style>
  <w:style w:type="paragraph" w:styleId="ListBullet">
    <w:name w:val="List Bullet"/>
    <w:basedOn w:val="List"/>
    <w:rsid w:val="007B02DA"/>
    <w:pPr>
      <w:numPr>
        <w:numId w:val="10"/>
      </w:numPr>
      <w:tabs>
        <w:tab w:val="clear" w:pos="340"/>
      </w:tabs>
      <w:spacing w:before="40" w:after="40"/>
    </w:pPr>
  </w:style>
  <w:style w:type="paragraph" w:customStyle="1" w:styleId="Note">
    <w:name w:val="Note"/>
    <w:basedOn w:val="BodyText"/>
    <w:rsid w:val="007B02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02DA"/>
    <w:pPr>
      <w:framePr w:wrap="auto" w:hAnchor="text" w:y="6049"/>
    </w:pPr>
    <w:rPr>
      <w:color w:val="000000"/>
      <w:sz w:val="40"/>
    </w:rPr>
  </w:style>
  <w:style w:type="paragraph" w:customStyle="1" w:styleId="TOCTitle">
    <w:name w:val="TOCTitle"/>
    <w:basedOn w:val="Heading1"/>
    <w:rsid w:val="007B02DA"/>
    <w:pPr>
      <w:spacing w:after="240"/>
      <w:jc w:val="center"/>
      <w:outlineLvl w:val="9"/>
    </w:pPr>
    <w:rPr>
      <w:caps/>
    </w:rPr>
  </w:style>
  <w:style w:type="paragraph" w:customStyle="1" w:styleId="Version">
    <w:name w:val="Version"/>
    <w:rsid w:val="007B02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02DA"/>
    <w:pPr>
      <w:numPr>
        <w:numId w:val="11"/>
      </w:numPr>
      <w:tabs>
        <w:tab w:val="clear" w:pos="680"/>
      </w:tabs>
    </w:pPr>
  </w:style>
  <w:style w:type="paragraph" w:styleId="Index1">
    <w:name w:val="index 1"/>
    <w:basedOn w:val="Normal"/>
    <w:next w:val="Normal"/>
    <w:semiHidden/>
    <w:rsid w:val="007B02DA"/>
    <w:pPr>
      <w:keepNext w:val="0"/>
      <w:tabs>
        <w:tab w:val="right" w:pos="4176"/>
      </w:tabs>
      <w:ind w:left="198" w:hanging="198"/>
    </w:pPr>
    <w:rPr>
      <w:rFonts w:ascii="Garamond" w:hAnsi="Garamond"/>
    </w:rPr>
  </w:style>
  <w:style w:type="paragraph" w:styleId="IndexHeading">
    <w:name w:val="index heading"/>
    <w:basedOn w:val="Normal"/>
    <w:next w:val="Index1"/>
    <w:semiHidden/>
    <w:rsid w:val="007B02DA"/>
    <w:pPr>
      <w:spacing w:before="120" w:after="120"/>
    </w:pPr>
    <w:rPr>
      <w:rFonts w:ascii="Arial" w:hAnsi="Arial"/>
      <w:b/>
      <w:color w:val="918585"/>
      <w:sz w:val="24"/>
    </w:rPr>
  </w:style>
  <w:style w:type="paragraph" w:styleId="Header">
    <w:name w:val="header"/>
    <w:basedOn w:val="Normal"/>
    <w:link w:val="HeaderChar"/>
    <w:rsid w:val="007B02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02DA"/>
    <w:rPr>
      <w:rFonts w:ascii="Times New Roman" w:eastAsia="Times New Roman" w:hAnsi="Times New Roman" w:cs="Times New Roman"/>
      <w:sz w:val="16"/>
      <w:szCs w:val="20"/>
      <w:lang w:val="en-GB" w:eastAsia="en-US"/>
    </w:rPr>
  </w:style>
  <w:style w:type="paragraph" w:customStyle="1" w:styleId="Chapter">
    <w:name w:val="Chapter"/>
    <w:basedOn w:val="Normal"/>
    <w:rsid w:val="007B02DA"/>
    <w:pPr>
      <w:spacing w:before="240"/>
    </w:pPr>
    <w:rPr>
      <w:rFonts w:ascii="Times New Roman" w:hAnsi="Times New Roman"/>
      <w:smallCaps/>
      <w:spacing w:val="80"/>
      <w:sz w:val="28"/>
    </w:rPr>
  </w:style>
  <w:style w:type="paragraph" w:customStyle="1" w:styleId="InChapter">
    <w:name w:val="InChapter"/>
    <w:basedOn w:val="Heading3"/>
    <w:rsid w:val="007B02DA"/>
    <w:pPr>
      <w:spacing w:after="240"/>
      <w:outlineLvl w:val="9"/>
    </w:pPr>
    <w:rPr>
      <w:noProof/>
    </w:rPr>
  </w:style>
  <w:style w:type="paragraph" w:styleId="Index2">
    <w:name w:val="index 2"/>
    <w:basedOn w:val="Normal"/>
    <w:next w:val="Normal"/>
    <w:semiHidden/>
    <w:rsid w:val="007B02DA"/>
    <w:pPr>
      <w:tabs>
        <w:tab w:val="right" w:pos="4176"/>
      </w:tabs>
      <w:ind w:left="568" w:hanging="284"/>
    </w:pPr>
    <w:rPr>
      <w:rFonts w:ascii="Garamond" w:hAnsi="Garamond"/>
    </w:rPr>
  </w:style>
  <w:style w:type="paragraph" w:customStyle="1" w:styleId="Byline">
    <w:name w:val="Byline"/>
    <w:rsid w:val="007B02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02DA"/>
    <w:pPr>
      <w:tabs>
        <w:tab w:val="clear" w:pos="3600"/>
        <w:tab w:val="clear" w:pos="3958"/>
      </w:tabs>
      <w:jc w:val="right"/>
    </w:pPr>
  </w:style>
  <w:style w:type="character" w:styleId="Emphasis">
    <w:name w:val="Emphasis"/>
    <w:basedOn w:val="DefaultParagraphFont"/>
    <w:qFormat/>
    <w:rsid w:val="007B02DA"/>
    <w:rPr>
      <w:i/>
    </w:rPr>
  </w:style>
  <w:style w:type="paragraph" w:styleId="Caption">
    <w:name w:val="caption"/>
    <w:basedOn w:val="BodyText"/>
    <w:next w:val="Normal"/>
    <w:qFormat/>
    <w:rsid w:val="007B02DA"/>
    <w:pPr>
      <w:framePr w:w="2268" w:hSpace="181" w:vSpace="181" w:wrap="around" w:vAnchor="text" w:hAnchor="page" w:x="1135" w:y="285" w:anchorLock="1"/>
    </w:pPr>
    <w:rPr>
      <w:i/>
    </w:rPr>
  </w:style>
  <w:style w:type="paragraph" w:customStyle="1" w:styleId="MiniTOCTitle">
    <w:name w:val="MiniTOCTitle"/>
    <w:basedOn w:val="Heading4"/>
    <w:rsid w:val="007B02DA"/>
    <w:pPr>
      <w:spacing w:before="240"/>
      <w:outlineLvl w:val="9"/>
    </w:pPr>
    <w:rPr>
      <w:noProof/>
      <w:sz w:val="24"/>
    </w:rPr>
  </w:style>
  <w:style w:type="paragraph" w:customStyle="1" w:styleId="MiniTOCItem">
    <w:name w:val="MiniTOCItem"/>
    <w:basedOn w:val="ListBullet"/>
    <w:rsid w:val="007B02DA"/>
    <w:pPr>
      <w:numPr>
        <w:numId w:val="0"/>
      </w:numPr>
      <w:tabs>
        <w:tab w:val="right" w:leader="dot" w:pos="6521"/>
      </w:tabs>
      <w:spacing w:before="0" w:after="0"/>
    </w:pPr>
  </w:style>
  <w:style w:type="paragraph" w:customStyle="1" w:styleId="TOFTitle">
    <w:name w:val="TOFTitle"/>
    <w:basedOn w:val="TOCTitle"/>
    <w:rsid w:val="007B02DA"/>
  </w:style>
  <w:style w:type="paragraph" w:styleId="TableofFigures">
    <w:name w:val="table of figures"/>
    <w:basedOn w:val="Normal"/>
    <w:next w:val="Normal"/>
    <w:semiHidden/>
    <w:rsid w:val="007B02DA"/>
    <w:pPr>
      <w:tabs>
        <w:tab w:val="right" w:leader="dot" w:pos="9072"/>
      </w:tabs>
      <w:ind w:left="970" w:hanging="403"/>
    </w:pPr>
    <w:rPr>
      <w:rFonts w:ascii="Times New Roman" w:hAnsi="Times New Roman"/>
      <w:b/>
    </w:rPr>
  </w:style>
  <w:style w:type="paragraph" w:styleId="ListNumber">
    <w:name w:val="List Number"/>
    <w:basedOn w:val="List"/>
    <w:rsid w:val="007B02DA"/>
    <w:pPr>
      <w:numPr>
        <w:numId w:val="13"/>
      </w:numPr>
      <w:tabs>
        <w:tab w:val="clear" w:pos="340"/>
      </w:tabs>
    </w:pPr>
  </w:style>
  <w:style w:type="character" w:customStyle="1" w:styleId="WingdingSymbols">
    <w:name w:val="Wingding Symbols"/>
    <w:rsid w:val="007B02DA"/>
    <w:rPr>
      <w:rFonts w:ascii="Wingdings" w:hAnsi="Wingdings"/>
    </w:rPr>
  </w:style>
  <w:style w:type="paragraph" w:customStyle="1" w:styleId="TableHeading">
    <w:name w:val="Table Heading"/>
    <w:basedOn w:val="HeadingBase"/>
    <w:rsid w:val="007B02DA"/>
    <w:pPr>
      <w:keepLines/>
      <w:pBdr>
        <w:bottom w:val="single" w:sz="6" w:space="1" w:color="918585"/>
      </w:pBdr>
      <w:spacing w:before="240"/>
    </w:pPr>
  </w:style>
  <w:style w:type="character" w:customStyle="1" w:styleId="HotSpot">
    <w:name w:val="HotSpot"/>
    <w:rsid w:val="007B02DA"/>
    <w:rPr>
      <w:color w:val="0033CC"/>
      <w:u w:val="none"/>
    </w:rPr>
  </w:style>
  <w:style w:type="paragraph" w:customStyle="1" w:styleId="BodyTextRight">
    <w:name w:val="Body Text Right"/>
    <w:basedOn w:val="BodyText"/>
    <w:rsid w:val="007B02DA"/>
    <w:pPr>
      <w:spacing w:before="0" w:after="0"/>
      <w:jc w:val="right"/>
    </w:pPr>
  </w:style>
  <w:style w:type="paragraph" w:styleId="Index3">
    <w:name w:val="index 3"/>
    <w:basedOn w:val="ListNumber2"/>
    <w:next w:val="Normal"/>
    <w:semiHidden/>
    <w:rsid w:val="007B02DA"/>
    <w:pPr>
      <w:numPr>
        <w:numId w:val="0"/>
      </w:numPr>
      <w:tabs>
        <w:tab w:val="right" w:leader="dot" w:pos="4176"/>
      </w:tabs>
    </w:pPr>
  </w:style>
  <w:style w:type="paragraph" w:styleId="ListNumber2">
    <w:name w:val="List Number 2"/>
    <w:basedOn w:val="List2"/>
    <w:rsid w:val="007B02DA"/>
    <w:pPr>
      <w:numPr>
        <w:numId w:val="8"/>
      </w:numPr>
      <w:tabs>
        <w:tab w:val="clear" w:pos="1060"/>
      </w:tabs>
    </w:pPr>
  </w:style>
  <w:style w:type="paragraph" w:customStyle="1" w:styleId="MarginNote">
    <w:name w:val="Margin Note"/>
    <w:basedOn w:val="BodyText"/>
    <w:rsid w:val="007B02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02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02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02DA"/>
    <w:rPr>
      <w:sz w:val="32"/>
    </w:rPr>
  </w:style>
  <w:style w:type="paragraph" w:customStyle="1" w:styleId="HeadingProcedure">
    <w:name w:val="Heading Procedure"/>
    <w:basedOn w:val="HeadingBase"/>
    <w:next w:val="Normal"/>
    <w:rsid w:val="007B02DA"/>
    <w:pPr>
      <w:tabs>
        <w:tab w:val="left" w:pos="0"/>
      </w:tabs>
      <w:spacing w:before="120" w:after="60"/>
    </w:pPr>
    <w:rPr>
      <w:i/>
      <w:color w:val="918585"/>
      <w:sz w:val="22"/>
    </w:rPr>
  </w:style>
  <w:style w:type="paragraph" w:customStyle="1" w:styleId="TableBodyText">
    <w:name w:val="Table Body Text"/>
    <w:basedOn w:val="BodyText"/>
    <w:rsid w:val="007B02DA"/>
    <w:pPr>
      <w:spacing w:before="60" w:after="60"/>
    </w:pPr>
  </w:style>
  <w:style w:type="paragraph" w:styleId="ListContinue">
    <w:name w:val="List Continue"/>
    <w:basedOn w:val="List"/>
    <w:rsid w:val="007B02DA"/>
    <w:pPr>
      <w:ind w:firstLine="0"/>
    </w:pPr>
  </w:style>
  <w:style w:type="paragraph" w:customStyle="1" w:styleId="ListNote">
    <w:name w:val="List Note"/>
    <w:basedOn w:val="List"/>
    <w:rsid w:val="007B02DA"/>
    <w:pPr>
      <w:pBdr>
        <w:top w:val="single" w:sz="6" w:space="2" w:color="918585"/>
        <w:bottom w:val="single" w:sz="6" w:space="2" w:color="918585"/>
      </w:pBdr>
      <w:tabs>
        <w:tab w:val="left" w:pos="1021"/>
      </w:tabs>
      <w:ind w:firstLine="0"/>
    </w:pPr>
  </w:style>
  <w:style w:type="paragraph" w:customStyle="1" w:styleId="Warning">
    <w:name w:val="Warning"/>
    <w:basedOn w:val="BodyText"/>
    <w:rsid w:val="007B02DA"/>
    <w:pPr>
      <w:shd w:val="clear" w:color="auto" w:fill="D9D9D9"/>
      <w:tabs>
        <w:tab w:val="left" w:pos="992"/>
      </w:tabs>
      <w:ind w:left="119" w:right="119"/>
    </w:pPr>
    <w:rPr>
      <w:sz w:val="20"/>
    </w:rPr>
  </w:style>
  <w:style w:type="paragraph" w:customStyle="1" w:styleId="MarginIcons">
    <w:name w:val="Margin Icons"/>
    <w:basedOn w:val="BodyText"/>
    <w:rsid w:val="007B02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02DA"/>
    <w:rPr>
      <w:rFonts w:ascii="Courier New" w:hAnsi="Courier New"/>
    </w:rPr>
  </w:style>
  <w:style w:type="paragraph" w:customStyle="1" w:styleId="NoteBullet">
    <w:name w:val="Note Bullet"/>
    <w:basedOn w:val="Note"/>
    <w:rsid w:val="007B02DA"/>
    <w:pPr>
      <w:tabs>
        <w:tab w:val="clear" w:pos="680"/>
      </w:tabs>
      <w:spacing w:before="60" w:after="60"/>
    </w:pPr>
  </w:style>
  <w:style w:type="paragraph" w:customStyle="1" w:styleId="SubHeading2">
    <w:name w:val="SubHeading2"/>
    <w:basedOn w:val="HeadingBase"/>
    <w:rsid w:val="007B02DA"/>
    <w:pPr>
      <w:spacing w:before="240" w:after="60"/>
    </w:pPr>
    <w:rPr>
      <w:sz w:val="20"/>
    </w:rPr>
  </w:style>
  <w:style w:type="paragraph" w:customStyle="1" w:styleId="SubHeading1">
    <w:name w:val="SubHeading1"/>
    <w:basedOn w:val="HeadingBase"/>
    <w:rsid w:val="007B02DA"/>
    <w:pPr>
      <w:spacing w:before="240" w:after="60"/>
    </w:pPr>
    <w:rPr>
      <w:color w:val="918585"/>
      <w:sz w:val="22"/>
    </w:rPr>
  </w:style>
  <w:style w:type="paragraph" w:customStyle="1" w:styleId="SideHeading">
    <w:name w:val="Side Heading"/>
    <w:basedOn w:val="HeadingBase"/>
    <w:rsid w:val="007B02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02DA"/>
    <w:pPr>
      <w:numPr>
        <w:numId w:val="9"/>
      </w:numPr>
    </w:pPr>
  </w:style>
  <w:style w:type="paragraph" w:styleId="PlainText">
    <w:name w:val="Plain Text"/>
    <w:basedOn w:val="Normal"/>
    <w:link w:val="PlainTextChar"/>
    <w:rsid w:val="007B02DA"/>
    <w:rPr>
      <w:sz w:val="20"/>
    </w:rPr>
  </w:style>
  <w:style w:type="character" w:customStyle="1" w:styleId="PlainTextChar">
    <w:name w:val="Plain Text Char"/>
    <w:basedOn w:val="DefaultParagraphFont"/>
    <w:link w:val="PlainText"/>
    <w:rsid w:val="007B02DA"/>
    <w:rPr>
      <w:rFonts w:ascii="Courier New" w:eastAsia="Times New Roman" w:hAnsi="Courier New" w:cs="Times New Roman"/>
      <w:sz w:val="20"/>
      <w:szCs w:val="20"/>
      <w:lang w:eastAsia="en-US"/>
    </w:rPr>
  </w:style>
  <w:style w:type="character" w:customStyle="1" w:styleId="MenuOption">
    <w:name w:val="Menu Option"/>
    <w:basedOn w:val="DefaultParagraphFont"/>
    <w:rsid w:val="007B02DA"/>
    <w:rPr>
      <w:b/>
      <w:smallCaps/>
    </w:rPr>
  </w:style>
  <w:style w:type="paragraph" w:customStyle="1" w:styleId="TableListNumber">
    <w:name w:val="Table List Number"/>
    <w:basedOn w:val="ListNumber"/>
    <w:rsid w:val="007B02DA"/>
    <w:pPr>
      <w:numPr>
        <w:numId w:val="0"/>
      </w:numPr>
    </w:pPr>
  </w:style>
  <w:style w:type="paragraph" w:styleId="TOC4">
    <w:name w:val="toc 4"/>
    <w:basedOn w:val="TOCBase"/>
    <w:next w:val="Normal"/>
    <w:semiHidden/>
    <w:rsid w:val="007B02DA"/>
    <w:pPr>
      <w:tabs>
        <w:tab w:val="right" w:leader="dot" w:pos="9071"/>
      </w:tabs>
      <w:ind w:left="1701"/>
    </w:pPr>
  </w:style>
  <w:style w:type="paragraph" w:customStyle="1" w:styleId="ListAlpha">
    <w:name w:val="List Alpha"/>
    <w:basedOn w:val="List"/>
    <w:rsid w:val="007B02DA"/>
    <w:pPr>
      <w:numPr>
        <w:numId w:val="7"/>
      </w:numPr>
    </w:pPr>
  </w:style>
  <w:style w:type="paragraph" w:customStyle="1" w:styleId="ListAlpha2">
    <w:name w:val="List Alpha 2"/>
    <w:basedOn w:val="List2"/>
    <w:rsid w:val="007B02DA"/>
    <w:pPr>
      <w:numPr>
        <w:numId w:val="6"/>
      </w:numPr>
    </w:pPr>
  </w:style>
  <w:style w:type="paragraph" w:styleId="List2">
    <w:name w:val="List 2"/>
    <w:basedOn w:val="BodyText"/>
    <w:rsid w:val="007B02DA"/>
    <w:pPr>
      <w:tabs>
        <w:tab w:val="left" w:pos="680"/>
      </w:tabs>
      <w:spacing w:before="60" w:after="60"/>
      <w:ind w:left="680" w:hanging="340"/>
    </w:pPr>
  </w:style>
  <w:style w:type="paragraph" w:styleId="List3">
    <w:name w:val="List 3"/>
    <w:basedOn w:val="BodyText"/>
    <w:rsid w:val="007B02DA"/>
    <w:pPr>
      <w:tabs>
        <w:tab w:val="left" w:pos="1021"/>
      </w:tabs>
      <w:spacing w:before="60" w:after="60"/>
      <w:ind w:left="1020" w:hanging="340"/>
    </w:pPr>
  </w:style>
  <w:style w:type="paragraph" w:styleId="List4">
    <w:name w:val="List 4"/>
    <w:basedOn w:val="BodyText"/>
    <w:rsid w:val="007B02DA"/>
    <w:pPr>
      <w:tabs>
        <w:tab w:val="left" w:pos="1361"/>
      </w:tabs>
      <w:spacing w:before="60" w:after="60"/>
      <w:ind w:left="1361" w:hanging="340"/>
    </w:pPr>
  </w:style>
  <w:style w:type="paragraph" w:styleId="List5">
    <w:name w:val="List 5"/>
    <w:basedOn w:val="BodyText"/>
    <w:rsid w:val="007B02DA"/>
    <w:pPr>
      <w:tabs>
        <w:tab w:val="left" w:pos="1701"/>
      </w:tabs>
      <w:spacing w:before="60" w:after="60"/>
      <w:ind w:left="1701" w:hanging="340"/>
    </w:pPr>
  </w:style>
  <w:style w:type="paragraph" w:styleId="ListBullet3">
    <w:name w:val="List Bullet 3"/>
    <w:basedOn w:val="List3"/>
    <w:rsid w:val="007B02DA"/>
    <w:pPr>
      <w:numPr>
        <w:numId w:val="12"/>
      </w:numPr>
      <w:tabs>
        <w:tab w:val="clear" w:pos="1021"/>
      </w:tabs>
      <w:ind w:left="1037" w:hanging="357"/>
    </w:pPr>
  </w:style>
  <w:style w:type="paragraph" w:styleId="ListBullet4">
    <w:name w:val="List Bullet 4"/>
    <w:basedOn w:val="List4"/>
    <w:rsid w:val="007B02DA"/>
    <w:pPr>
      <w:numPr>
        <w:numId w:val="1"/>
      </w:numPr>
      <w:tabs>
        <w:tab w:val="clear" w:pos="1361"/>
      </w:tabs>
    </w:pPr>
  </w:style>
  <w:style w:type="paragraph" w:styleId="ListBullet5">
    <w:name w:val="List Bullet 5"/>
    <w:basedOn w:val="List5"/>
    <w:rsid w:val="007B02DA"/>
    <w:pPr>
      <w:numPr>
        <w:numId w:val="2"/>
      </w:numPr>
    </w:pPr>
  </w:style>
  <w:style w:type="paragraph" w:styleId="ListContinue2">
    <w:name w:val="List Continue 2"/>
    <w:basedOn w:val="List2"/>
    <w:rsid w:val="007B02DA"/>
    <w:pPr>
      <w:ind w:firstLine="0"/>
    </w:pPr>
  </w:style>
  <w:style w:type="paragraph" w:styleId="ListContinue3">
    <w:name w:val="List Continue 3"/>
    <w:basedOn w:val="List3"/>
    <w:rsid w:val="007B02DA"/>
    <w:pPr>
      <w:ind w:left="1021" w:firstLine="0"/>
    </w:pPr>
  </w:style>
  <w:style w:type="paragraph" w:styleId="ListContinue4">
    <w:name w:val="List Continue 4"/>
    <w:basedOn w:val="List4"/>
    <w:rsid w:val="007B02DA"/>
    <w:pPr>
      <w:ind w:firstLine="0"/>
    </w:pPr>
  </w:style>
  <w:style w:type="paragraph" w:styleId="ListContinue5">
    <w:name w:val="List Continue 5"/>
    <w:basedOn w:val="List5"/>
    <w:rsid w:val="007B02DA"/>
    <w:pPr>
      <w:ind w:firstLine="0"/>
    </w:pPr>
  </w:style>
  <w:style w:type="paragraph" w:styleId="ListNumber3">
    <w:name w:val="List Number 3"/>
    <w:basedOn w:val="List3"/>
    <w:rsid w:val="007B02DA"/>
    <w:pPr>
      <w:numPr>
        <w:numId w:val="3"/>
      </w:numPr>
    </w:pPr>
  </w:style>
  <w:style w:type="paragraph" w:styleId="ListNumber4">
    <w:name w:val="List Number 4"/>
    <w:basedOn w:val="List4"/>
    <w:rsid w:val="007B02DA"/>
    <w:pPr>
      <w:numPr>
        <w:numId w:val="4"/>
      </w:numPr>
    </w:pPr>
  </w:style>
  <w:style w:type="paragraph" w:styleId="ListNumber5">
    <w:name w:val="List Number 5"/>
    <w:basedOn w:val="List5"/>
    <w:rsid w:val="007B02DA"/>
    <w:pPr>
      <w:numPr>
        <w:numId w:val="5"/>
      </w:numPr>
    </w:pPr>
  </w:style>
  <w:style w:type="paragraph" w:styleId="BlockText">
    <w:name w:val="Block Text"/>
    <w:basedOn w:val="Normal"/>
    <w:rsid w:val="007B02DA"/>
    <w:pPr>
      <w:spacing w:after="120"/>
      <w:ind w:left="1440" w:right="1440"/>
    </w:pPr>
  </w:style>
  <w:style w:type="character" w:customStyle="1" w:styleId="Subscript">
    <w:name w:val="Subscript"/>
    <w:basedOn w:val="DefaultParagraphFont"/>
    <w:rsid w:val="007B02DA"/>
    <w:rPr>
      <w:sz w:val="16"/>
      <w:vertAlign w:val="subscript"/>
    </w:rPr>
  </w:style>
  <w:style w:type="character" w:customStyle="1" w:styleId="Superscript">
    <w:name w:val="Superscript"/>
    <w:basedOn w:val="DefaultParagraphFont"/>
    <w:rsid w:val="007B02DA"/>
    <w:rPr>
      <w:sz w:val="16"/>
      <w:vertAlign w:val="superscript"/>
    </w:rPr>
  </w:style>
  <w:style w:type="character" w:customStyle="1" w:styleId="Symbols">
    <w:name w:val="Symbols"/>
    <w:basedOn w:val="DefaultParagraphFont"/>
    <w:rsid w:val="007B02DA"/>
    <w:rPr>
      <w:rFonts w:ascii="Symbol" w:hAnsi="Symbol"/>
    </w:rPr>
  </w:style>
  <w:style w:type="character" w:customStyle="1" w:styleId="MenuOptions">
    <w:name w:val="Menu Options"/>
    <w:basedOn w:val="DefaultParagraphFont"/>
    <w:rsid w:val="007B02DA"/>
    <w:rPr>
      <w:rFonts w:ascii="Arial Narrow" w:hAnsi="Arial Narrow"/>
      <w:smallCaps/>
    </w:rPr>
  </w:style>
  <w:style w:type="character" w:customStyle="1" w:styleId="Buttons">
    <w:name w:val="Buttons"/>
    <w:basedOn w:val="DefaultParagraphFont"/>
    <w:rsid w:val="007B02DA"/>
    <w:rPr>
      <w:b/>
    </w:rPr>
  </w:style>
  <w:style w:type="character" w:customStyle="1" w:styleId="Underlined">
    <w:name w:val="Underlined"/>
    <w:basedOn w:val="DefaultParagraphFont"/>
    <w:rsid w:val="007B02DA"/>
    <w:rPr>
      <w:u w:val="single"/>
    </w:rPr>
  </w:style>
  <w:style w:type="paragraph" w:customStyle="1" w:styleId="TableBodyTextRight">
    <w:name w:val="Table Body Text Right"/>
    <w:basedOn w:val="TableBodyText"/>
    <w:rsid w:val="007B02DA"/>
    <w:pPr>
      <w:widowControl w:val="0"/>
      <w:autoSpaceDE w:val="0"/>
      <w:autoSpaceDN w:val="0"/>
      <w:adjustRightInd w:val="0"/>
      <w:jc w:val="right"/>
    </w:pPr>
    <w:rPr>
      <w:rFonts w:cs="Arial"/>
      <w:szCs w:val="18"/>
    </w:rPr>
  </w:style>
  <w:style w:type="paragraph" w:customStyle="1" w:styleId="CopyrightText">
    <w:name w:val="Copyright Text"/>
    <w:basedOn w:val="BodyText"/>
    <w:rsid w:val="007B02DA"/>
    <w:rPr>
      <w:sz w:val="18"/>
    </w:rPr>
  </w:style>
  <w:style w:type="paragraph" w:customStyle="1" w:styleId="BodySmallRight">
    <w:name w:val="Body Small Right"/>
    <w:basedOn w:val="BodyTextRight"/>
    <w:rsid w:val="007B02DA"/>
    <w:rPr>
      <w:sz w:val="18"/>
      <w:szCs w:val="18"/>
    </w:rPr>
  </w:style>
  <w:style w:type="paragraph" w:customStyle="1" w:styleId="MarginEdition">
    <w:name w:val="Margin Edition"/>
    <w:basedOn w:val="MarginNote"/>
    <w:rsid w:val="007B02DA"/>
    <w:pPr>
      <w:spacing w:before="0" w:after="0"/>
    </w:pPr>
    <w:rPr>
      <w:rFonts w:ascii="Times New Roman" w:hAnsi="Times New Roman"/>
      <w:color w:val="999999"/>
    </w:rPr>
  </w:style>
  <w:style w:type="paragraph" w:customStyle="1" w:styleId="Spacer">
    <w:name w:val="Spacer"/>
    <w:basedOn w:val="Normal"/>
    <w:rsid w:val="007B02DA"/>
    <w:rPr>
      <w:sz w:val="2"/>
      <w:szCs w:val="2"/>
    </w:rPr>
  </w:style>
  <w:style w:type="character" w:customStyle="1" w:styleId="Small">
    <w:name w:val="Small"/>
    <w:basedOn w:val="DefaultParagraphFont"/>
    <w:rsid w:val="007B02DA"/>
    <w:rPr>
      <w:sz w:val="16"/>
    </w:rPr>
  </w:style>
  <w:style w:type="paragraph" w:customStyle="1" w:styleId="WideTable">
    <w:name w:val="Wide Table"/>
    <w:basedOn w:val="Normal"/>
    <w:rsid w:val="007B02DA"/>
    <w:pPr>
      <w:ind w:left="-1418"/>
    </w:pPr>
    <w:rPr>
      <w:sz w:val="2"/>
      <w:szCs w:val="2"/>
    </w:rPr>
  </w:style>
  <w:style w:type="character" w:styleId="PageNumber">
    <w:name w:val="page number"/>
    <w:basedOn w:val="DefaultParagraphFont"/>
    <w:rsid w:val="007B02DA"/>
  </w:style>
  <w:style w:type="paragraph" w:styleId="Quote">
    <w:name w:val="Quote"/>
    <w:basedOn w:val="Heading1"/>
    <w:link w:val="QuoteChar"/>
    <w:qFormat/>
    <w:rsid w:val="007B02DA"/>
    <w:rPr>
      <w:b w:val="0"/>
      <w:sz w:val="72"/>
      <w:szCs w:val="72"/>
      <w:lang w:val="en-NZ"/>
    </w:rPr>
  </w:style>
  <w:style w:type="character" w:customStyle="1" w:styleId="QuoteChar">
    <w:name w:val="Quote Char"/>
    <w:basedOn w:val="DefaultParagraphFont"/>
    <w:link w:val="Quote"/>
    <w:rsid w:val="007B02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02DA"/>
    <w:pPr>
      <w:pageBreakBefore/>
    </w:pPr>
  </w:style>
  <w:style w:type="paragraph" w:customStyle="1" w:styleId="Border">
    <w:name w:val="Border"/>
    <w:basedOn w:val="Normal"/>
    <w:qFormat/>
    <w:rsid w:val="007B02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02DA"/>
    <w:rPr>
      <w:b/>
      <w:bCs/>
      <w:i/>
      <w:iCs/>
      <w:color w:val="auto"/>
    </w:rPr>
  </w:style>
  <w:style w:type="paragraph" w:styleId="IntenseQuote">
    <w:name w:val="Intense Quote"/>
    <w:basedOn w:val="Normal"/>
    <w:next w:val="Normal"/>
    <w:link w:val="IntenseQuoteChar"/>
    <w:uiPriority w:val="30"/>
    <w:qFormat/>
    <w:rsid w:val="007B02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02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02DA"/>
    <w:rPr>
      <w:smallCaps/>
      <w:color w:val="auto"/>
      <w:u w:val="single"/>
    </w:rPr>
  </w:style>
  <w:style w:type="character" w:styleId="IntenseReference">
    <w:name w:val="Intense Reference"/>
    <w:basedOn w:val="DefaultParagraphFont"/>
    <w:uiPriority w:val="32"/>
    <w:qFormat/>
    <w:rsid w:val="007B02DA"/>
    <w:rPr>
      <w:b/>
      <w:bCs/>
      <w:smallCaps/>
      <w:color w:val="auto"/>
      <w:spacing w:val="5"/>
      <w:u w:val="single"/>
    </w:rPr>
  </w:style>
  <w:style w:type="paragraph" w:customStyle="1" w:styleId="2ColumnHeading">
    <w:name w:val="2Column Heading"/>
    <w:basedOn w:val="BodyText"/>
    <w:qFormat/>
    <w:rsid w:val="007B02DA"/>
    <w:pPr>
      <w:spacing w:after="60"/>
      <w:ind w:left="-2268"/>
    </w:pPr>
    <w:rPr>
      <w:b/>
    </w:rPr>
  </w:style>
  <w:style w:type="paragraph" w:customStyle="1" w:styleId="Heading1TOC">
    <w:name w:val="Heading1 TOC"/>
    <w:basedOn w:val="Normal"/>
    <w:qFormat/>
    <w:rsid w:val="007B02DA"/>
    <w:pPr>
      <w:spacing w:before="240" w:after="120"/>
    </w:pPr>
    <w:rPr>
      <w:rFonts w:ascii="Times New Roman" w:hAnsi="Times New Roman"/>
      <w:b/>
      <w:sz w:val="32"/>
    </w:rPr>
  </w:style>
  <w:style w:type="paragraph" w:customStyle="1" w:styleId="Heading2TOC">
    <w:name w:val="Heading2 TOC"/>
    <w:basedOn w:val="Normal"/>
    <w:qFormat/>
    <w:rsid w:val="007B02DA"/>
    <w:pPr>
      <w:spacing w:before="240" w:after="60"/>
    </w:pPr>
    <w:rPr>
      <w:rFonts w:ascii="Times New Roman" w:hAnsi="Times New Roman"/>
      <w:b/>
      <w:sz w:val="28"/>
    </w:rPr>
  </w:style>
  <w:style w:type="character" w:customStyle="1" w:styleId="Underline">
    <w:name w:val="Underline"/>
    <w:basedOn w:val="DefaultParagraphFont"/>
    <w:qFormat/>
    <w:rsid w:val="007B02DA"/>
    <w:rPr>
      <w:u w:val="single"/>
    </w:rPr>
  </w:style>
  <w:style w:type="character" w:customStyle="1" w:styleId="BoldandItalics">
    <w:name w:val="Bold and Italics"/>
    <w:qFormat/>
    <w:rsid w:val="007B02DA"/>
    <w:rPr>
      <w:b/>
      <w:i/>
      <w:u w:val="none"/>
    </w:rPr>
  </w:style>
  <w:style w:type="paragraph" w:styleId="BalloonText">
    <w:name w:val="Balloon Text"/>
    <w:basedOn w:val="Normal"/>
    <w:link w:val="BalloonTextChar"/>
    <w:rsid w:val="007B02DA"/>
    <w:rPr>
      <w:rFonts w:ascii="Tahoma" w:hAnsi="Tahoma" w:cs="Tahoma"/>
      <w:sz w:val="16"/>
      <w:szCs w:val="16"/>
    </w:rPr>
  </w:style>
  <w:style w:type="character" w:customStyle="1" w:styleId="BalloonTextChar">
    <w:name w:val="Balloon Text Char"/>
    <w:basedOn w:val="DefaultParagraphFont"/>
    <w:link w:val="BalloonText"/>
    <w:rsid w:val="007B02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02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02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02DA"/>
    <w:rPr>
      <w:b/>
      <w:color w:val="660033"/>
      <w:spacing w:val="0"/>
    </w:rPr>
  </w:style>
  <w:style w:type="paragraph" w:customStyle="1" w:styleId="Nameditemlist">
    <w:name w:val="Named item list"/>
    <w:basedOn w:val="BodyText"/>
    <w:qFormat/>
    <w:rsid w:val="007B02DA"/>
    <w:pPr>
      <w:tabs>
        <w:tab w:val="left" w:pos="2835"/>
      </w:tabs>
      <w:ind w:left="2835" w:hanging="2835"/>
    </w:pPr>
  </w:style>
  <w:style w:type="paragraph" w:customStyle="1" w:styleId="BodyTextnopadding">
    <w:name w:val="Body Text no padding"/>
    <w:basedOn w:val="BodyText"/>
    <w:qFormat/>
    <w:rsid w:val="007B02DA"/>
    <w:pPr>
      <w:spacing w:before="0" w:after="0"/>
    </w:pPr>
  </w:style>
  <w:style w:type="paragraph" w:customStyle="1" w:styleId="BodyTextBold">
    <w:name w:val="Body Text Bold"/>
    <w:basedOn w:val="BodyText"/>
    <w:qFormat/>
    <w:rsid w:val="007B02DA"/>
    <w:rPr>
      <w:b/>
    </w:rPr>
  </w:style>
  <w:style w:type="character" w:styleId="Hyperlink">
    <w:name w:val="Hyperlink"/>
    <w:basedOn w:val="DefaultParagraphFont"/>
    <w:uiPriority w:val="99"/>
    <w:unhideWhenUsed/>
    <w:rsid w:val="009711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844</Words>
  <Characters>5221</Characters>
  <Application>Microsoft Office Word</Application>
  <DocSecurity>0</DocSecurity>
  <Lines>180</Lines>
  <Paragraphs>91</Paragraphs>
  <ScaleCrop>false</ScaleCrop>
  <Company>Author-it Software Corporation Ltd.</Company>
  <LinksUpToDate>false</LinksUpToDate>
  <CharactersWithSpaces>5974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TLIC4026 Operate and monitor a motive power unit</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2021-04-12T02:34:00Z</dcterms:created>
  <dcterms:modified xsi:type="dcterms:W3CDTF">2021-04-12T02:34:00Z</dcterms:modified>
</cp:coreProperties>
</file>