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09F" w:rsidP="007A60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TLIC4006 Drive multi-combination vehicle</w:t>
      </w:r>
      <w:r>
        <w:fldChar w:fldCharType="end"/>
      </w:r>
    </w:p>
    <w:p w:rsidR="007A609F" w:rsidP="007A609F">
      <w:pPr>
        <w:pStyle w:val="Version"/>
        <w:sectPr w:rsidSect="005E1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10AE" w:rsidP="005E10AE">
      <w:pPr>
        <w:pStyle w:val="SuperHeading"/>
      </w:pPr>
      <w:r w:rsidRPr="005E10AE">
        <w:t>Assessment Requirements for TLIC4006 Drive multi-combination vehicle</w:t>
      </w:r>
    </w:p>
    <w:p w:rsidR="00000000" w:rsidRPr="005E10AE" w:rsidP="005E10AE">
      <w:pPr>
        <w:pStyle w:val="Heading1"/>
      </w:pPr>
      <w:bookmarkStart w:id="1" w:name="O_1066809"/>
      <w:bookmarkEnd w:id="1"/>
      <w:r w:rsidRPr="005E10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0AE" w:rsidP="005E10AE">
            <w:pPr>
              <w:pStyle w:val="BodyText"/>
            </w:pPr>
            <w:r w:rsidRPr="005E10AE">
              <w:rPr>
                <w:rStyle w:val="SpecialBold"/>
              </w:rPr>
              <w:t xml:space="preserve">Release 2. </w:t>
            </w:r>
            <w:r w:rsidRPr="005E10AE">
              <w:t>This is the second release of this unit of competency in the TLI Transport and Logistics Training Package:</w:t>
            </w:r>
          </w:p>
          <w:p w:rsidR="00000000" w:rsidP="005E10AE">
            <w:pPr>
              <w:pStyle w:val="ListBullet"/>
              <w:rPr>
                <w:lang w:val="en-NZ"/>
              </w:rPr>
            </w:pPr>
            <w:r w:rsidRPr="005E10AE">
              <w:t>Minor statement changes in Assessment Conditions.</w:t>
            </w:r>
          </w:p>
        </w:tc>
      </w:tr>
      <w:tr w:rsidTr="005E1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0AE" w:rsidP="005E10AE">
            <w:pPr>
              <w:pStyle w:val="BodyText"/>
            </w:pPr>
            <w:r w:rsidRPr="005E10AE">
              <w:rPr>
                <w:rStyle w:val="SpecialBold"/>
              </w:rPr>
              <w:t xml:space="preserve">Release 1. </w:t>
            </w:r>
            <w:r w:rsidRPr="005E10AE">
              <w:t>This is the first release of this unit of competency in the TLI Transport and Logistics Training Package.</w:t>
            </w:r>
          </w:p>
        </w:tc>
      </w:tr>
    </w:tbl>
    <w:p w:rsidR="00000000" w:rsidRPr="005E10AE" w:rsidP="005E10AE">
      <w:pPr>
        <w:pStyle w:val="NoPaddingFontSize1"/>
      </w:pPr>
    </w:p>
    <w:p w:rsidR="00000000" w:rsidRPr="005E10AE" w:rsidP="005E10AE">
      <w:pPr>
        <w:pStyle w:val="AllowPageBreak"/>
      </w:pPr>
    </w:p>
    <w:p w:rsidR="00000000" w:rsidRPr="005E10AE" w:rsidP="005E10AE">
      <w:pPr>
        <w:pStyle w:val="Heading1"/>
      </w:pPr>
      <w:bookmarkStart w:id="2" w:name="O_1066808"/>
      <w:bookmarkEnd w:id="2"/>
      <w:r w:rsidRPr="005E10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0AE" w:rsidP="005E10AE">
            <w:pPr>
              <w:pStyle w:val="BodyText"/>
            </w:pPr>
            <w:r w:rsidRPr="005E10AE">
              <w:t>Evidence required to demonstrate competence in</w:t>
            </w:r>
            <w:r w:rsidRPr="005E10AE">
              <w:t xml:space="preserve"> this unit must be relevant to and satisfy all of the requirements of the elements and performance criteria on at least one occasion and include:</w:t>
            </w:r>
          </w:p>
          <w:p w:rsidR="00000000" w:rsidRPr="005E10AE" w:rsidP="005E10AE">
            <w:pPr>
              <w:pStyle w:val="ListBullet"/>
            </w:pPr>
            <w:r w:rsidRPr="005E10AE">
              <w:t>applying precautions and required action to minimise, control or eliminate identified hazards</w:t>
            </w:r>
          </w:p>
          <w:p w:rsidR="00000000" w:rsidRPr="005E10AE" w:rsidP="005E10AE">
            <w:pPr>
              <w:pStyle w:val="ListBullet"/>
            </w:pPr>
            <w:r w:rsidRPr="005E10AE">
              <w:t>checking and re</w:t>
            </w:r>
            <w:r w:rsidRPr="005E10AE">
              <w:t>plenishing fluids and carrying out lubrication processes</w:t>
            </w:r>
          </w:p>
          <w:p w:rsidR="00000000" w:rsidRPr="005E10AE" w:rsidP="005E10AE">
            <w:pPr>
              <w:pStyle w:val="ListBullet"/>
            </w:pPr>
            <w:r w:rsidRPr="005E10AE">
              <w:t>completing relevant documentation</w:t>
            </w:r>
          </w:p>
          <w:p w:rsidR="00000000" w:rsidRPr="005E10AE" w:rsidP="005E10AE">
            <w:pPr>
              <w:pStyle w:val="ListBullet"/>
            </w:pPr>
            <w:r w:rsidRPr="005E10AE">
              <w:t>monitoring and anticipating traffic hazards and taking appropriate action</w:t>
            </w:r>
          </w:p>
          <w:p w:rsidR="00000000" w:rsidRPr="005E10AE" w:rsidP="005E10AE">
            <w:pPr>
              <w:pStyle w:val="ListBullet"/>
            </w:pPr>
            <w:r w:rsidRPr="005E10AE">
              <w:t>monitoring performance of vehicle, its trailers and its equipment and taking appropriate action as required</w:t>
            </w:r>
          </w:p>
          <w:p w:rsidR="00000000" w:rsidRPr="005E10AE" w:rsidP="005E10AE">
            <w:pPr>
              <w:pStyle w:val="ListBullet"/>
            </w:pPr>
            <w:r w:rsidRPr="005E10AE">
              <w:t>operating and adapting to differences in equipment in accordance with operating procedures</w:t>
            </w:r>
          </w:p>
          <w:p w:rsidR="00000000" w:rsidRPr="005E10AE" w:rsidP="005E10AE">
            <w:pPr>
              <w:pStyle w:val="ListBullet"/>
            </w:pPr>
            <w:r w:rsidRPr="005E10AE">
              <w:t>reading and interpreting relevant instructions, procedure</w:t>
            </w:r>
            <w:r w:rsidRPr="005E10AE">
              <w:t>s, information and signs</w:t>
            </w:r>
          </w:p>
          <w:p w:rsidR="00000000" w:rsidRPr="005E10AE" w:rsidP="005E10AE">
            <w:pPr>
              <w:pStyle w:val="ListBullet"/>
            </w:pPr>
            <w:r w:rsidRPr="005E10AE">
              <w:t>reporting and/or rectifying identified problems, faults or malfunctions promptly in accordance with regulatory requirements and workplace procedures.</w:t>
            </w:r>
          </w:p>
        </w:tc>
      </w:tr>
    </w:tbl>
    <w:p w:rsidR="00000000" w:rsidRPr="005E10AE" w:rsidP="005E10AE">
      <w:pPr>
        <w:pStyle w:val="NoPaddingFontSize1"/>
      </w:pPr>
    </w:p>
    <w:p w:rsidR="00000000" w:rsidRPr="005E10AE" w:rsidP="005E10AE">
      <w:pPr>
        <w:pStyle w:val="AllowPageBreak"/>
      </w:pPr>
    </w:p>
    <w:p w:rsidR="00000000" w:rsidRPr="005E10AE" w:rsidP="005E10AE">
      <w:pPr>
        <w:pStyle w:val="Heading1"/>
      </w:pPr>
      <w:bookmarkStart w:id="3" w:name="O_1066807"/>
      <w:bookmarkEnd w:id="3"/>
      <w:r w:rsidRPr="005E10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0AE" w:rsidP="005E10AE">
            <w:pPr>
              <w:pStyle w:val="BodyText"/>
            </w:pPr>
            <w:r w:rsidRPr="005E10AE">
              <w:t>Evidence required to demonstrate competen</w:t>
            </w:r>
            <w:r w:rsidRPr="005E10AE">
              <w:t>ce in this unit must be relevant to and satisfy all of the requirements of the elements and performance criteria and include knowledge of:</w:t>
            </w:r>
          </w:p>
          <w:p w:rsidR="00000000" w:rsidRPr="005E10AE" w:rsidP="005E10AE">
            <w:pPr>
              <w:pStyle w:val="ListBullet"/>
            </w:pPr>
            <w:r w:rsidRPr="005E10AE">
              <w:t>causes and effects of fatigue on drivers</w:t>
            </w:r>
          </w:p>
          <w:p w:rsidR="00000000" w:rsidRPr="005E10AE" w:rsidP="005E10AE">
            <w:pPr>
              <w:pStyle w:val="ListBullet"/>
            </w:pPr>
            <w:r w:rsidRPr="005E10AE">
              <w:t>differences between transmission types</w:t>
            </w:r>
          </w:p>
          <w:p w:rsidR="00000000" w:rsidRPr="005E10AE" w:rsidP="005E10AE">
            <w:pPr>
              <w:pStyle w:val="ListBullet"/>
            </w:pPr>
            <w:r w:rsidRPr="005E10AE">
              <w:t>driving hazards and related defensiv</w:t>
            </w:r>
            <w:r w:rsidRPr="005E10AE">
              <w:t>e driving techniques</w:t>
            </w:r>
          </w:p>
          <w:p w:rsidR="00000000" w:rsidRPr="005E10AE" w:rsidP="005E10AE">
            <w:pPr>
              <w:pStyle w:val="ListBullet"/>
            </w:pPr>
            <w:r w:rsidRPr="005E10AE">
              <w:t>efficient driving techniques</w:t>
            </w:r>
          </w:p>
          <w:p w:rsidR="00000000" w:rsidRPr="005E10AE" w:rsidP="005E10AE">
            <w:pPr>
              <w:pStyle w:val="ListBullet"/>
            </w:pPr>
            <w:r w:rsidRPr="005E10AE">
              <w:t>engine power management and safe driving strategies</w:t>
            </w:r>
          </w:p>
          <w:p w:rsidR="00000000" w:rsidRPr="005E10AE" w:rsidP="005E10AE">
            <w:pPr>
              <w:pStyle w:val="ListBullet"/>
            </w:pPr>
            <w:r w:rsidRPr="005E10AE">
              <w:t>factors that increase fatigue-related accidents</w:t>
            </w:r>
          </w:p>
          <w:p w:rsidR="00000000" w:rsidRPr="005E10AE" w:rsidP="005E10AE">
            <w:pPr>
              <w:pStyle w:val="ListBullet"/>
            </w:pPr>
            <w:r w:rsidRPr="005E10AE">
              <w:t>factors that may cause traffic delays and diversions and related actions that can be taken</w:t>
            </w:r>
          </w:p>
          <w:p w:rsidR="00000000" w:rsidRPr="005E10AE" w:rsidP="005E10AE">
            <w:pPr>
              <w:pStyle w:val="ListBullet"/>
            </w:pPr>
            <w:r w:rsidRPr="005E10AE">
              <w:t>fatigue management strategies including on-road techniques</w:t>
            </w:r>
          </w:p>
          <w:p w:rsidR="00000000" w:rsidRPr="005E10AE" w:rsidP="005E10AE">
            <w:pPr>
              <w:pStyle w:val="ListBullet"/>
            </w:pPr>
            <w:r w:rsidRPr="005E10AE">
              <w:t>lifestyles that promote effective long-term fatigue management</w:t>
            </w:r>
          </w:p>
          <w:p w:rsidR="00000000" w:rsidRPr="005E10AE" w:rsidP="005E10AE">
            <w:pPr>
              <w:pStyle w:val="ListBullet"/>
            </w:pPr>
            <w:r w:rsidRPr="005E10AE">
              <w:t>map reading and road navigation techniques</w:t>
            </w:r>
          </w:p>
          <w:p w:rsidR="00000000" w:rsidRPr="005E10AE" w:rsidP="005E10AE">
            <w:pPr>
              <w:pStyle w:val="ListBullet"/>
            </w:pPr>
            <w:r w:rsidRPr="005E10AE">
              <w:t>multi-combination vehicle controls, instruments and indicators, and their use</w:t>
            </w:r>
          </w:p>
          <w:p w:rsidR="00000000" w:rsidRPr="005E10AE" w:rsidP="005E10AE">
            <w:pPr>
              <w:pStyle w:val="ListBullet"/>
            </w:pPr>
            <w:r w:rsidRPr="005E10AE">
              <w:t>multi-combina</w:t>
            </w:r>
            <w:r w:rsidRPr="005E10AE">
              <w:t>tion vehicle handling procedures</w:t>
            </w:r>
          </w:p>
          <w:p w:rsidR="00000000" w:rsidRPr="005E10AE" w:rsidP="005E10AE">
            <w:pPr>
              <w:pStyle w:val="ListBullet"/>
            </w:pPr>
            <w:r w:rsidRPr="005E10AE">
              <w:t>pre-operational checks carried out on multi-combination vehicle and related actions</w:t>
            </w:r>
          </w:p>
          <w:p w:rsidR="00000000" w:rsidRPr="005E10AE" w:rsidP="005E10AE">
            <w:pPr>
              <w:pStyle w:val="ListBullet"/>
            </w:pPr>
            <w:r w:rsidRPr="005E10AE">
              <w:t>principles of operation of air brakes and procedures for their use</w:t>
            </w:r>
          </w:p>
          <w:p w:rsidR="00000000" w:rsidRPr="005E10AE" w:rsidP="005E10AE">
            <w:pPr>
              <w:pStyle w:val="ListBullet"/>
            </w:pPr>
            <w:r w:rsidRPr="005E10AE">
              <w:t>principles of stress management when driving a vehicle</w:t>
            </w:r>
          </w:p>
          <w:p w:rsidR="00000000" w:rsidRPr="005E10AE" w:rsidP="005E10AE">
            <w:pPr>
              <w:pStyle w:val="ListBullet"/>
            </w:pPr>
            <w:r w:rsidRPr="005E10AE">
              <w:t>relevant state/te</w:t>
            </w:r>
            <w:r w:rsidRPr="005E10AE">
              <w:t>rritory road and traffic authority road rules, regulations, permits and licence requirements</w:t>
            </w:r>
          </w:p>
          <w:p w:rsidR="00000000" w:rsidRPr="005E10AE" w:rsidP="005E10AE">
            <w:pPr>
              <w:pStyle w:val="ListBullet"/>
            </w:pPr>
            <w:r w:rsidRPr="005E10AE">
              <w:t>relevant work health and safety (WHS)/occupational health and safety (OHS) and environmental procedures and regulations</w:t>
            </w:r>
          </w:p>
          <w:p w:rsidR="00000000" w:rsidRPr="005E10AE" w:rsidP="005E10AE">
            <w:pPr>
              <w:pStyle w:val="ListBullet"/>
            </w:pPr>
            <w:r w:rsidRPr="005E10AE">
              <w:t>workplace driving and operational instructi</w:t>
            </w:r>
            <w:r w:rsidRPr="005E10AE">
              <w:t>ons.</w:t>
            </w:r>
          </w:p>
        </w:tc>
      </w:tr>
    </w:tbl>
    <w:p w:rsidR="00000000" w:rsidRPr="005E10AE" w:rsidP="005E10AE">
      <w:pPr>
        <w:pStyle w:val="NoPaddingFontSize1"/>
      </w:pPr>
    </w:p>
    <w:p w:rsidR="00000000" w:rsidRPr="005E10AE" w:rsidP="005E10AE">
      <w:pPr>
        <w:pStyle w:val="AllowPageBreak"/>
      </w:pPr>
    </w:p>
    <w:p w:rsidR="00000000" w:rsidRPr="005E10AE" w:rsidP="005E10AE">
      <w:pPr>
        <w:pStyle w:val="Heading1"/>
      </w:pPr>
      <w:bookmarkStart w:id="4" w:name="O_1066806"/>
      <w:bookmarkEnd w:id="4"/>
      <w:r w:rsidRPr="005E10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0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0AE" w:rsidP="005E10AE">
            <w:pPr>
              <w:pStyle w:val="BodyText"/>
            </w:pPr>
            <w:r w:rsidRPr="005E10AE">
              <w:t xml:space="preserve">Assessors must hold credentials specified within the Standards for Registered Training Organisations current at the time of assessment. </w:t>
            </w:r>
          </w:p>
          <w:p w:rsidR="00000000" w:rsidRPr="005E10AE" w:rsidP="005E10AE">
            <w:pPr>
              <w:pStyle w:val="BodyText"/>
            </w:pPr>
            <w:r w:rsidRPr="005E10AE">
              <w:t xml:space="preserve">Assessment must satisfy the Principles of Assessment and </w:t>
            </w:r>
            <w:r w:rsidRPr="005E10AE">
              <w:t>Rules of Evidence and all regulatory requirements included within the Standards for Registered Training Organisations current at the time of assessment.</w:t>
            </w:r>
          </w:p>
          <w:p w:rsidR="00000000" w:rsidRPr="005E10AE" w:rsidP="005E10AE">
            <w:pPr>
              <w:pStyle w:val="BodyText"/>
            </w:pPr>
            <w:r w:rsidRPr="005E10AE">
              <w:t xml:space="preserve">Assessment must occur in workplace operational situations where it is appropriate to do so; where this </w:t>
            </w:r>
            <w:r w:rsidRPr="005E10AE">
              <w:t>is not appropriate, assessment must occur in simulated workplace operational situations that replicate workplace conditions.</w:t>
            </w:r>
          </w:p>
          <w:p w:rsidR="00000000" w:rsidRPr="005E10AE" w:rsidP="005E10AE">
            <w:pPr>
              <w:pStyle w:val="BodyText"/>
            </w:pPr>
            <w:r w:rsidRPr="005E10AE">
              <w:t>Assessment processes and techniques must be appropriate to the language, literacy and numeracy requirements of the work being perfo</w:t>
            </w:r>
            <w:r w:rsidRPr="005E10AE">
              <w:t>rmed and the needs of the candidate.</w:t>
            </w:r>
          </w:p>
          <w:p w:rsidR="00000000" w:rsidRPr="005E10AE" w:rsidP="005E10AE">
            <w:pPr>
              <w:pStyle w:val="BodyText"/>
            </w:pPr>
            <w:r w:rsidRPr="005E10AE">
              <w:t>Assessment of this unit may be undertaken within a licensing examination conducted by, or under the authority of, the relevant state/territory road and traffic authority.</w:t>
            </w:r>
          </w:p>
          <w:p w:rsidR="00000000" w:rsidRPr="005E10AE" w:rsidP="005E10AE">
            <w:pPr>
              <w:pStyle w:val="BodyText"/>
            </w:pPr>
            <w:r w:rsidRPr="005E10AE">
              <w:t>Resources for assessment include:</w:t>
            </w:r>
          </w:p>
          <w:p w:rsidR="00000000" w:rsidRPr="005E10AE" w:rsidP="005E10AE">
            <w:pPr>
              <w:pStyle w:val="ListBullet"/>
            </w:pPr>
            <w:r w:rsidRPr="005E10AE">
              <w:t>a range of re</w:t>
            </w:r>
            <w:r w:rsidRPr="005E10AE">
              <w:t>levant exercises, case studies and/or simulations</w:t>
            </w:r>
          </w:p>
          <w:p w:rsidR="00000000" w:rsidRPr="005E10AE" w:rsidP="005E10AE">
            <w:pPr>
              <w:pStyle w:val="ListBullet"/>
            </w:pPr>
            <w:r w:rsidRPr="005E10AE">
              <w:t>relevant materials, tools, equipment and personal protective equipment (PPE) currently used in industry</w:t>
            </w:r>
          </w:p>
          <w:p w:rsidR="00000000" w:rsidRPr="005E10AE" w:rsidP="005E10AE">
            <w:pPr>
              <w:pStyle w:val="ListBullet"/>
            </w:pPr>
            <w:r w:rsidRPr="005E10AE">
              <w:t xml:space="preserve">applicable documentation including workplace procedures, regulations, codes of practice and operation </w:t>
            </w:r>
            <w:r w:rsidRPr="005E10AE">
              <w:t>manuals.</w:t>
            </w:r>
          </w:p>
        </w:tc>
      </w:tr>
    </w:tbl>
    <w:p w:rsidR="00000000" w:rsidRPr="005E10AE" w:rsidP="005E10AE">
      <w:pPr>
        <w:pStyle w:val="NoPaddingFontSize1"/>
      </w:pPr>
    </w:p>
    <w:p w:rsidR="00000000" w:rsidRPr="005E10AE" w:rsidP="005E10AE">
      <w:pPr>
        <w:pStyle w:val="AllowPageBreak"/>
      </w:pPr>
    </w:p>
    <w:p w:rsidR="00000000" w:rsidRPr="005E10AE" w:rsidP="005E10AE">
      <w:pPr>
        <w:pStyle w:val="Heading1"/>
      </w:pPr>
      <w:bookmarkStart w:id="5" w:name="O_1066821"/>
      <w:bookmarkEnd w:id="5"/>
      <w:r w:rsidRPr="005E10AE">
        <w:t>Links</w:t>
      </w:r>
    </w:p>
    <w:p w:rsidR="00000000" w:rsidRPr="005E10AE" w:rsidP="007A609F">
      <w:pPr>
        <w:pStyle w:val="BodyText"/>
      </w:pPr>
      <w:r w:rsidRPr="005E1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229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10AE" w:rsidP="005E10AE"/>
    <w:sectPr w:rsidSect="005E1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AE" w:rsidRPr="007A609F" w:rsidP="007A60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09F" w:rsidP="005E1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609F" w:rsidP="005E1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A609F" w:rsidP="005E1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0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0AE" w:rsidRPr="007A609F" w:rsidP="007A60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09F" w:rsidRPr="002D2AF8" w:rsidP="005E1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TLIC4006 Drive multi-combination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A609F" w:rsidP="005E1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BC7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A65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0AE"/>
  </w:style>
  <w:style w:type="character" w:customStyle="1" w:styleId="Heading1Char">
    <w:name w:val="Heading 1 Char"/>
    <w:basedOn w:val="DefaultParagraphFont"/>
    <w:link w:val="Heading1"/>
    <w:rsid w:val="005E1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0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0AE"/>
    <w:rPr>
      <w:b/>
      <w:spacing w:val="0"/>
    </w:rPr>
  </w:style>
  <w:style w:type="paragraph" w:customStyle="1" w:styleId="SuperHeading">
    <w:name w:val="SuperHeading"/>
    <w:basedOn w:val="Normal"/>
    <w:rsid w:val="005E1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1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0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0AE"/>
    <w:rPr>
      <w:i/>
    </w:rPr>
  </w:style>
  <w:style w:type="paragraph" w:styleId="Caption">
    <w:name w:val="caption"/>
    <w:basedOn w:val="BodyText"/>
    <w:next w:val="Normal"/>
    <w:qFormat/>
    <w:rsid w:val="005E1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0AE"/>
  </w:style>
  <w:style w:type="paragraph" w:styleId="TableofFigures">
    <w:name w:val="table of figures"/>
    <w:basedOn w:val="Normal"/>
    <w:next w:val="Normal"/>
    <w:semiHidden/>
    <w:rsid w:val="005E1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0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10AE"/>
    <w:rPr>
      <w:rFonts w:ascii="Wingdings" w:hAnsi="Wingdings"/>
    </w:rPr>
  </w:style>
  <w:style w:type="paragraph" w:customStyle="1" w:styleId="TableHeading">
    <w:name w:val="Table Heading"/>
    <w:basedOn w:val="HeadingBase"/>
    <w:rsid w:val="005E1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0AE"/>
    <w:rPr>
      <w:color w:val="0033CC"/>
      <w:u w:val="none"/>
    </w:rPr>
  </w:style>
  <w:style w:type="paragraph" w:customStyle="1" w:styleId="BodyTextRight">
    <w:name w:val="Body Text Right"/>
    <w:basedOn w:val="BodyText"/>
    <w:rsid w:val="005E1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0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0AE"/>
    <w:rPr>
      <w:sz w:val="32"/>
    </w:rPr>
  </w:style>
  <w:style w:type="paragraph" w:customStyle="1" w:styleId="HeadingProcedure">
    <w:name w:val="Heading Procedure"/>
    <w:basedOn w:val="HeadingBase"/>
    <w:next w:val="Normal"/>
    <w:rsid w:val="005E1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0AE"/>
    <w:pPr>
      <w:spacing w:before="60" w:after="60"/>
    </w:pPr>
  </w:style>
  <w:style w:type="paragraph" w:styleId="ListContinue">
    <w:name w:val="List Continue"/>
    <w:basedOn w:val="List"/>
    <w:rsid w:val="005E10AE"/>
    <w:pPr>
      <w:ind w:firstLine="0"/>
    </w:pPr>
  </w:style>
  <w:style w:type="paragraph" w:customStyle="1" w:styleId="ListNote">
    <w:name w:val="List Note"/>
    <w:basedOn w:val="List"/>
    <w:rsid w:val="005E1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0AE"/>
    <w:rPr>
      <w:rFonts w:ascii="Courier New" w:hAnsi="Courier New"/>
    </w:rPr>
  </w:style>
  <w:style w:type="paragraph" w:customStyle="1" w:styleId="NoteBullet">
    <w:name w:val="Note Bullet"/>
    <w:basedOn w:val="Note"/>
    <w:rsid w:val="005E1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0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0AE"/>
    <w:rPr>
      <w:b/>
      <w:smallCaps/>
    </w:rPr>
  </w:style>
  <w:style w:type="paragraph" w:customStyle="1" w:styleId="TableListNumber">
    <w:name w:val="Table List Number"/>
    <w:basedOn w:val="ListNumber"/>
    <w:rsid w:val="005E1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0AE"/>
    <w:pPr>
      <w:numPr>
        <w:numId w:val="8"/>
      </w:numPr>
    </w:pPr>
  </w:style>
  <w:style w:type="paragraph" w:customStyle="1" w:styleId="ListAlpha2">
    <w:name w:val="List Alpha 2"/>
    <w:basedOn w:val="List2"/>
    <w:rsid w:val="005E10AE"/>
    <w:pPr>
      <w:numPr>
        <w:numId w:val="7"/>
      </w:numPr>
    </w:pPr>
  </w:style>
  <w:style w:type="paragraph" w:styleId="List2">
    <w:name w:val="List 2"/>
    <w:basedOn w:val="BodyText"/>
    <w:rsid w:val="005E1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0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0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10AE"/>
    <w:pPr>
      <w:numPr>
        <w:numId w:val="3"/>
      </w:numPr>
    </w:pPr>
  </w:style>
  <w:style w:type="paragraph" w:styleId="ListContinue2">
    <w:name w:val="List Continue 2"/>
    <w:basedOn w:val="List2"/>
    <w:rsid w:val="005E10AE"/>
    <w:pPr>
      <w:ind w:firstLine="0"/>
    </w:pPr>
  </w:style>
  <w:style w:type="paragraph" w:styleId="ListContinue3">
    <w:name w:val="List Continue 3"/>
    <w:basedOn w:val="List3"/>
    <w:rsid w:val="005E10AE"/>
    <w:pPr>
      <w:ind w:left="1021" w:firstLine="0"/>
    </w:pPr>
  </w:style>
  <w:style w:type="paragraph" w:styleId="ListContinue4">
    <w:name w:val="List Continue 4"/>
    <w:basedOn w:val="List4"/>
    <w:rsid w:val="005E10AE"/>
    <w:pPr>
      <w:ind w:firstLine="0"/>
    </w:pPr>
  </w:style>
  <w:style w:type="paragraph" w:styleId="ListContinue5">
    <w:name w:val="List Continue 5"/>
    <w:basedOn w:val="List5"/>
    <w:rsid w:val="005E10AE"/>
    <w:pPr>
      <w:ind w:firstLine="0"/>
    </w:pPr>
  </w:style>
  <w:style w:type="paragraph" w:styleId="ListNumber3">
    <w:name w:val="List Number 3"/>
    <w:basedOn w:val="List3"/>
    <w:rsid w:val="005E10AE"/>
    <w:pPr>
      <w:numPr>
        <w:numId w:val="4"/>
      </w:numPr>
    </w:pPr>
  </w:style>
  <w:style w:type="paragraph" w:styleId="ListNumber4">
    <w:name w:val="List Number 4"/>
    <w:basedOn w:val="List4"/>
    <w:rsid w:val="005E10AE"/>
    <w:pPr>
      <w:numPr>
        <w:numId w:val="5"/>
      </w:numPr>
    </w:pPr>
  </w:style>
  <w:style w:type="paragraph" w:styleId="ListNumber5">
    <w:name w:val="List Number 5"/>
    <w:basedOn w:val="List5"/>
    <w:rsid w:val="005E10AE"/>
    <w:pPr>
      <w:numPr>
        <w:numId w:val="6"/>
      </w:numPr>
    </w:pPr>
  </w:style>
  <w:style w:type="paragraph" w:styleId="BlockText">
    <w:name w:val="Block Text"/>
    <w:basedOn w:val="Normal"/>
    <w:rsid w:val="005E1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0AE"/>
    <w:rPr>
      <w:sz w:val="16"/>
      <w:vertAlign w:val="superscript"/>
    </w:rPr>
  </w:style>
  <w:style w:type="character" w:customStyle="1" w:styleId="Symbols">
    <w:name w:val="Symbols"/>
    <w:basedOn w:val="DefaultParagraphFont"/>
    <w:rsid w:val="005E10AE"/>
    <w:rPr>
      <w:rFonts w:ascii="Symbol" w:hAnsi="Symbol"/>
    </w:rPr>
  </w:style>
  <w:style w:type="character" w:customStyle="1" w:styleId="MenuOptions">
    <w:name w:val="Menu Options"/>
    <w:basedOn w:val="DefaultParagraphFont"/>
    <w:rsid w:val="005E1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0AE"/>
    <w:rPr>
      <w:b/>
    </w:rPr>
  </w:style>
  <w:style w:type="character" w:customStyle="1" w:styleId="Underlined">
    <w:name w:val="Underlined"/>
    <w:basedOn w:val="DefaultParagraphFont"/>
    <w:rsid w:val="005E10AE"/>
    <w:rPr>
      <w:u w:val="single"/>
    </w:rPr>
  </w:style>
  <w:style w:type="paragraph" w:customStyle="1" w:styleId="TableBodyTextRight">
    <w:name w:val="Table Body Text Right"/>
    <w:basedOn w:val="TableBodyText"/>
    <w:rsid w:val="005E1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0AE"/>
    <w:rPr>
      <w:sz w:val="18"/>
    </w:rPr>
  </w:style>
  <w:style w:type="paragraph" w:customStyle="1" w:styleId="BodySmallRight">
    <w:name w:val="Body Small Right"/>
    <w:basedOn w:val="BodyTextRight"/>
    <w:rsid w:val="005E10AE"/>
    <w:rPr>
      <w:sz w:val="18"/>
      <w:szCs w:val="18"/>
    </w:rPr>
  </w:style>
  <w:style w:type="paragraph" w:customStyle="1" w:styleId="MarginEdition">
    <w:name w:val="Margin Edition"/>
    <w:basedOn w:val="MarginNote"/>
    <w:rsid w:val="005E1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0AE"/>
    <w:rPr>
      <w:sz w:val="2"/>
      <w:szCs w:val="2"/>
    </w:rPr>
  </w:style>
  <w:style w:type="character" w:customStyle="1" w:styleId="Small">
    <w:name w:val="Small"/>
    <w:basedOn w:val="DefaultParagraphFont"/>
    <w:rsid w:val="005E10AE"/>
    <w:rPr>
      <w:sz w:val="16"/>
    </w:rPr>
  </w:style>
  <w:style w:type="paragraph" w:customStyle="1" w:styleId="WideTable">
    <w:name w:val="Wide Table"/>
    <w:basedOn w:val="Normal"/>
    <w:rsid w:val="005E1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0AE"/>
  </w:style>
  <w:style w:type="paragraph" w:styleId="Quote">
    <w:name w:val="Quote"/>
    <w:basedOn w:val="Heading1"/>
    <w:link w:val="QuoteChar"/>
    <w:qFormat/>
    <w:rsid w:val="005E1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0AE"/>
    <w:pPr>
      <w:pageBreakBefore/>
    </w:pPr>
  </w:style>
  <w:style w:type="paragraph" w:customStyle="1" w:styleId="Border">
    <w:name w:val="Border"/>
    <w:basedOn w:val="Normal"/>
    <w:qFormat/>
    <w:rsid w:val="005E1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0AE"/>
    <w:rPr>
      <w:u w:val="single"/>
    </w:rPr>
  </w:style>
  <w:style w:type="character" w:customStyle="1" w:styleId="BoldandItalics">
    <w:name w:val="Bold and Italics"/>
    <w:qFormat/>
    <w:rsid w:val="005E10AE"/>
    <w:rPr>
      <w:b/>
      <w:i/>
      <w:u w:val="none"/>
    </w:rPr>
  </w:style>
  <w:style w:type="paragraph" w:styleId="BalloonText">
    <w:name w:val="Balloon Text"/>
    <w:basedOn w:val="Normal"/>
    <w:link w:val="BalloonTextChar"/>
    <w:rsid w:val="005E1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0AE"/>
    <w:pPr>
      <w:spacing w:before="0" w:after="0"/>
    </w:pPr>
  </w:style>
  <w:style w:type="paragraph" w:customStyle="1" w:styleId="BodyTextBold">
    <w:name w:val="Body Text Bold"/>
    <w:basedOn w:val="BodyText"/>
    <w:qFormat/>
    <w:rsid w:val="005E10AE"/>
    <w:rPr>
      <w:b/>
    </w:rPr>
  </w:style>
  <w:style w:type="character" w:styleId="Hyperlink">
    <w:name w:val="Hyperlink"/>
    <w:basedOn w:val="DefaultParagraphFont"/>
    <w:uiPriority w:val="99"/>
    <w:unhideWhenUsed/>
    <w:rsid w:val="007A6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3732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TLIC4006 Drive multi-combination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