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3EC9" w:rsidP="00183E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TLIC3071 Operate an agitator</w:t>
      </w:r>
      <w:r>
        <w:fldChar w:fldCharType="end"/>
      </w:r>
    </w:p>
    <w:p w:rsidR="00183EC9" w:rsidP="00183EC9">
      <w:pPr>
        <w:pStyle w:val="Version"/>
        <w:sectPr w:rsidSect="005A11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112B" w:rsidP="005A112B">
      <w:pPr>
        <w:pStyle w:val="SuperHeading"/>
      </w:pPr>
      <w:r w:rsidRPr="005A112B">
        <w:t>TLIC3071 Operate an agitator</w:t>
      </w:r>
    </w:p>
    <w:p w:rsidR="00000000" w:rsidRPr="005A112B" w:rsidP="005A112B">
      <w:pPr>
        <w:pStyle w:val="Heading1"/>
      </w:pPr>
      <w:bookmarkStart w:id="1" w:name="O_842224"/>
      <w:bookmarkEnd w:id="1"/>
      <w:r w:rsidRPr="005A112B">
        <w:t>Modification History</w:t>
      </w:r>
    </w:p>
    <w:p w:rsidR="00183EC9" w:rsidP="00183EC9">
      <w:pPr>
        <w:pStyle w:val="BodyText"/>
      </w:pPr>
      <w:r w:rsidRPr="005A112B">
        <w:t>Release 1. This is the first release of this unit of competency in the TLI Transport and Logistics Training Package.</w:t>
      </w:r>
    </w:p>
    <w:p w:rsidR="00000000" w:rsidRPr="005A112B" w:rsidP="005A112B">
      <w:pPr>
        <w:pStyle w:val="Heading1"/>
      </w:pPr>
      <w:bookmarkStart w:id="2" w:name="O_842225"/>
      <w:bookmarkEnd w:id="2"/>
      <w:r w:rsidRPr="005A112B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5A11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12B" w:rsidP="005A112B">
            <w:pPr>
              <w:pStyle w:val="BodyText"/>
            </w:pPr>
            <w:r w:rsidRPr="005A112B">
              <w:t>This unit involves the skills and knowledge required to safely operate an agitator (also</w:t>
            </w:r>
            <w:r w:rsidRPr="005A112B">
              <w:t xml:space="preserve"> known as a concrete mixer), in accordance with relevant state/territory roads and traffic authority licence requirements and regulations for an agitator.</w:t>
            </w:r>
          </w:p>
          <w:p w:rsidR="00000000" w:rsidRPr="005A112B" w:rsidP="005A112B">
            <w:pPr>
              <w:pStyle w:val="BodyText"/>
            </w:pPr>
            <w:r w:rsidRPr="005A112B">
              <w:t xml:space="preserve">It includes systematically and efficiently controlling all vehicle functions, monitoring traffic and </w:t>
            </w:r>
            <w:r w:rsidRPr="005A112B">
              <w:t xml:space="preserve">road conditions, and managing vehicle condition and performance. </w:t>
            </w:r>
          </w:p>
          <w:p w:rsidR="00000000" w:rsidRPr="005A112B" w:rsidP="005A112B">
            <w:pPr>
              <w:pStyle w:val="BodyText"/>
            </w:pPr>
            <w:r w:rsidRPr="005A112B">
              <w:t>It also includes preparing a vehicle, monitoring and maintaining vehicle performance, delivering concrete to site and finalising concrete delivery.</w:t>
            </w:r>
          </w:p>
          <w:p w:rsidR="00000000" w:rsidRPr="005A112B" w:rsidP="005A112B">
            <w:pPr>
              <w:pStyle w:val="BodyText"/>
            </w:pPr>
            <w:r w:rsidRPr="005A112B">
              <w:t>Work is performed with limited supervision</w:t>
            </w:r>
            <w:r w:rsidRPr="005A112B">
              <w:t>, and with duty of care responsibility for self and others in achieving the prescribed outcomes.</w:t>
            </w:r>
          </w:p>
          <w:p w:rsidR="00000000" w:rsidRPr="005A112B" w:rsidP="005A112B">
            <w:pPr>
              <w:pStyle w:val="BodyText"/>
            </w:pPr>
            <w:r w:rsidRPr="005A112B">
              <w:t>No licensing, legislative or certification requirements apply to this unit at the time of publication.</w:t>
            </w:r>
          </w:p>
        </w:tc>
      </w:tr>
    </w:tbl>
    <w:p w:rsidR="00183EC9" w:rsidP="005A112B">
      <w:pPr>
        <w:pStyle w:val="BodyText"/>
      </w:pPr>
    </w:p>
    <w:p w:rsidR="00183EC9" w:rsidP="005A112B">
      <w:pPr>
        <w:pStyle w:val="BodyText"/>
      </w:pPr>
    </w:p>
    <w:p w:rsidR="00000000" w:rsidRPr="005A112B" w:rsidP="005A112B">
      <w:pPr>
        <w:pStyle w:val="Heading1"/>
      </w:pPr>
      <w:bookmarkStart w:id="3" w:name="O_842226"/>
      <w:bookmarkEnd w:id="3"/>
      <w:r w:rsidRPr="005A112B">
        <w:t>Pre-requisite Unit</w:t>
      </w:r>
    </w:p>
    <w:p w:rsidR="00183EC9" w:rsidP="00183EC9">
      <w:pPr>
        <w:pStyle w:val="BodyText"/>
      </w:pPr>
      <w:r w:rsidRPr="005A112B">
        <w:t>Not applicable.</w:t>
      </w:r>
    </w:p>
    <w:p w:rsidR="00000000" w:rsidRPr="005A112B" w:rsidP="005A112B">
      <w:pPr>
        <w:pStyle w:val="Heading1"/>
      </w:pPr>
      <w:bookmarkStart w:id="4" w:name="O_842227"/>
      <w:bookmarkEnd w:id="4"/>
      <w:r w:rsidRPr="005A112B">
        <w:t>Competency Field</w:t>
      </w:r>
    </w:p>
    <w:p w:rsidR="00183EC9" w:rsidP="00183EC9">
      <w:pPr>
        <w:pStyle w:val="BodyText"/>
      </w:pPr>
      <w:r w:rsidRPr="005A112B">
        <w:t>C – Vehicle Operation</w:t>
      </w:r>
    </w:p>
    <w:p w:rsidR="00000000" w:rsidRPr="005A112B" w:rsidP="005A112B">
      <w:pPr>
        <w:pStyle w:val="Heading1"/>
      </w:pPr>
      <w:bookmarkStart w:id="5" w:name="O_842228"/>
      <w:bookmarkEnd w:id="5"/>
      <w:r w:rsidRPr="005A112B">
        <w:t>Unit Sector</w:t>
      </w:r>
    </w:p>
    <w:p w:rsidR="00183EC9" w:rsidP="00183EC9">
      <w:pPr>
        <w:pStyle w:val="BodyText"/>
      </w:pPr>
      <w:r w:rsidRPr="005A112B">
        <w:t>Not applicable.</w:t>
      </w:r>
    </w:p>
    <w:p w:rsidR="00000000" w:rsidRPr="005A112B" w:rsidP="005A112B">
      <w:pPr>
        <w:pStyle w:val="Heading1"/>
      </w:pPr>
      <w:bookmarkStart w:id="6" w:name="O_842229"/>
      <w:bookmarkEnd w:id="6"/>
      <w:r w:rsidRPr="005A112B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183E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12B" w:rsidP="005A112B">
            <w:pPr>
              <w:pStyle w:val="BodyText"/>
            </w:pPr>
            <w:r w:rsidRPr="005A112B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2B">
            <w:pPr>
              <w:pStyle w:val="BodyText"/>
              <w:rPr>
                <w:lang w:val="en-NZ"/>
              </w:rPr>
            </w:pPr>
            <w:r w:rsidRPr="005A112B">
              <w:rPr>
                <w:rStyle w:val="SpecialBold"/>
              </w:rPr>
              <w:t>PERFORMANCE CRITERIA</w:t>
            </w:r>
          </w:p>
        </w:tc>
      </w:tr>
      <w:tr w:rsidTr="00183E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2B">
            <w:pPr>
              <w:pStyle w:val="BodyText"/>
              <w:rPr>
                <w:lang w:val="en-NZ"/>
              </w:rPr>
            </w:pPr>
            <w:r w:rsidRPr="005A112B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2B">
            <w:pPr>
              <w:pStyle w:val="BodyText"/>
              <w:rPr>
                <w:lang w:val="en-NZ"/>
              </w:rPr>
            </w:pPr>
            <w:r w:rsidRPr="005A112B">
              <w:t>Performance criteria describe the performance needed to demonstrate achievement of the element.</w:t>
            </w:r>
          </w:p>
        </w:tc>
      </w:tr>
      <w:tr w:rsidTr="00183E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12B" w:rsidP="005A112B">
            <w:pPr>
              <w:pStyle w:val="BodyText"/>
            </w:pPr>
            <w:r w:rsidRPr="005A112B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2B">
            <w:pPr>
              <w:pStyle w:val="BodyText"/>
              <w:rPr>
                <w:lang w:val="en-NZ"/>
              </w:rPr>
            </w:pPr>
            <w:r w:rsidRPr="005A112B">
              <w:rPr>
                <w:rStyle w:val="SpecialBold"/>
              </w:rPr>
              <w:t>Prepare vehicle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2B">
            <w:pPr>
              <w:pStyle w:val="BodyText"/>
              <w:rPr>
                <w:lang w:val="en-NZ"/>
              </w:rPr>
            </w:pPr>
            <w:r w:rsidRPr="005A112B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2B">
            <w:pPr>
              <w:pStyle w:val="BodyText"/>
              <w:rPr>
                <w:lang w:val="en-NZ"/>
              </w:rPr>
            </w:pPr>
            <w:r w:rsidRPr="005A112B">
              <w:t>Job hazards are identified and required action is taken to minimise, control or eliminate identified hazards</w:t>
            </w:r>
          </w:p>
        </w:tc>
      </w:tr>
      <w:tr w:rsidTr="00183E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2B">
            <w:pPr>
              <w:pStyle w:val="BodyText"/>
              <w:rPr>
                <w:lang w:val="en-NZ"/>
              </w:rPr>
            </w:pPr>
            <w:r w:rsidRPr="005A112B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2B">
            <w:pPr>
              <w:pStyle w:val="BodyText"/>
              <w:rPr>
                <w:lang w:val="en-NZ"/>
              </w:rPr>
            </w:pPr>
            <w:r w:rsidRPr="005A112B">
              <w:t>Pre-operational agitator check is completed in accordance with workplace procedures</w:t>
            </w:r>
          </w:p>
        </w:tc>
      </w:tr>
      <w:tr w:rsidTr="00183E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2B">
            <w:pPr>
              <w:pStyle w:val="BodyText"/>
              <w:rPr>
                <w:lang w:val="en-NZ"/>
              </w:rPr>
            </w:pPr>
            <w:r w:rsidRPr="005A112B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2B">
            <w:pPr>
              <w:pStyle w:val="BodyText"/>
              <w:rPr>
                <w:lang w:val="en-NZ"/>
              </w:rPr>
            </w:pPr>
            <w:r w:rsidRPr="005A112B">
              <w:t>Concrete is charged to agitator and slump is adjusted in accordance with customer requirements and organisational procedures</w:t>
            </w:r>
          </w:p>
        </w:tc>
      </w:tr>
      <w:tr w:rsidTr="00183E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2B">
            <w:pPr>
              <w:pStyle w:val="BodyText"/>
              <w:rPr>
                <w:lang w:val="en-NZ"/>
              </w:rPr>
            </w:pPr>
            <w:r w:rsidRPr="005A112B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2B">
            <w:pPr>
              <w:pStyle w:val="BodyText"/>
              <w:rPr>
                <w:lang w:val="en-NZ"/>
              </w:rPr>
            </w:pPr>
            <w:r w:rsidRPr="005A112B">
              <w:t>Vehicle exterior is cleaned in ac</w:t>
            </w:r>
            <w:r w:rsidRPr="005A112B">
              <w:t>cordance with organisational policy and regulatory requirements</w:t>
            </w:r>
          </w:p>
        </w:tc>
      </w:tr>
      <w:tr w:rsidTr="00183E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2B">
            <w:pPr>
              <w:pStyle w:val="BodyText"/>
              <w:rPr>
                <w:lang w:val="en-NZ"/>
              </w:rPr>
            </w:pPr>
            <w:r w:rsidRPr="005A112B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2B">
            <w:pPr>
              <w:pStyle w:val="BodyText"/>
              <w:rPr>
                <w:lang w:val="en-NZ"/>
              </w:rPr>
            </w:pPr>
            <w:r w:rsidRPr="005A112B">
              <w:t>Most efficient route of travel is determined to achieve customer and regulatory requirements</w:t>
            </w:r>
          </w:p>
        </w:tc>
      </w:tr>
      <w:tr w:rsidTr="00183E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2B">
            <w:pPr>
              <w:pStyle w:val="BodyText"/>
              <w:rPr>
                <w:lang w:val="en-NZ"/>
              </w:rPr>
            </w:pPr>
            <w:r w:rsidRPr="005A112B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2B">
            <w:pPr>
              <w:pStyle w:val="BodyText"/>
              <w:rPr>
                <w:lang w:val="en-NZ"/>
              </w:rPr>
            </w:pPr>
            <w:r w:rsidRPr="005A112B">
              <w:t>Traffic and road conditions are constantly monitored and acted on to enable safe operation</w:t>
            </w:r>
          </w:p>
        </w:tc>
      </w:tr>
      <w:tr w:rsidTr="00183E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2B">
            <w:pPr>
              <w:pStyle w:val="BodyText"/>
              <w:rPr>
                <w:lang w:val="en-NZ"/>
              </w:rPr>
            </w:pPr>
            <w:r w:rsidRPr="005A112B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2B">
            <w:pPr>
              <w:pStyle w:val="BodyText"/>
              <w:rPr>
                <w:lang w:val="en-NZ"/>
              </w:rPr>
            </w:pPr>
            <w:r w:rsidRPr="005A112B">
              <w:t>Emergency procedures are followed in a driving emergency</w:t>
            </w:r>
          </w:p>
        </w:tc>
      </w:tr>
      <w:tr w:rsidTr="00183E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12B" w:rsidP="005A112B">
            <w:pPr>
              <w:pStyle w:val="BodyText"/>
            </w:pPr>
            <w:r w:rsidRPr="005A112B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2B">
            <w:pPr>
              <w:pStyle w:val="BodyText"/>
              <w:rPr>
                <w:lang w:val="en-NZ"/>
              </w:rPr>
            </w:pPr>
            <w:r w:rsidRPr="005A112B">
              <w:rPr>
                <w:rStyle w:val="SpecialBold"/>
              </w:rPr>
              <w:t>Monitor and maintain vehicle performance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2B">
            <w:pPr>
              <w:pStyle w:val="BodyText"/>
              <w:rPr>
                <w:lang w:val="en-NZ"/>
              </w:rPr>
            </w:pPr>
            <w:r w:rsidRPr="005A112B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2B">
            <w:pPr>
              <w:pStyle w:val="BodyText"/>
              <w:rPr>
                <w:lang w:val="en-NZ"/>
              </w:rPr>
            </w:pPr>
            <w:r w:rsidRPr="005A112B">
              <w:t>Performance position and efficiency of vehicle operat</w:t>
            </w:r>
            <w:r w:rsidRPr="005A112B">
              <w:t>ion are monitored during use</w:t>
            </w:r>
          </w:p>
        </w:tc>
      </w:tr>
      <w:tr w:rsidTr="00183E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2B">
            <w:pPr>
              <w:pStyle w:val="BodyText"/>
              <w:rPr>
                <w:lang w:val="en-NZ"/>
              </w:rPr>
            </w:pPr>
            <w:r w:rsidRPr="005A112B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2B">
            <w:pPr>
              <w:pStyle w:val="BodyText"/>
              <w:rPr>
                <w:lang w:val="en-NZ"/>
              </w:rPr>
            </w:pPr>
            <w:r w:rsidRPr="005A112B">
              <w:t>Defective or irregular performance and malfunctions are reported to appropriate authority</w:t>
            </w:r>
          </w:p>
        </w:tc>
      </w:tr>
      <w:tr w:rsidTr="00183E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2B">
            <w:pPr>
              <w:pStyle w:val="BodyText"/>
              <w:rPr>
                <w:lang w:val="en-NZ"/>
              </w:rPr>
            </w:pPr>
            <w:r w:rsidRPr="005A112B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2B">
            <w:pPr>
              <w:pStyle w:val="BodyText"/>
              <w:rPr>
                <w:lang w:val="en-NZ"/>
              </w:rPr>
            </w:pPr>
            <w:r w:rsidRPr="005A112B">
              <w:t>Vehicle records are updated and maintained, and information is processed in accordance with workplace procedures</w:t>
            </w:r>
          </w:p>
        </w:tc>
      </w:tr>
      <w:tr w:rsidTr="00183E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12B" w:rsidP="005A112B">
            <w:pPr>
              <w:pStyle w:val="BodyText"/>
            </w:pPr>
            <w:r w:rsidRPr="005A112B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2B">
            <w:pPr>
              <w:pStyle w:val="BodyText"/>
              <w:rPr>
                <w:lang w:val="en-NZ"/>
              </w:rPr>
            </w:pPr>
            <w:r w:rsidRPr="005A112B">
              <w:rPr>
                <w:rStyle w:val="SpecialBold"/>
              </w:rPr>
              <w:t>Deliver concrete to site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2B">
            <w:pPr>
              <w:pStyle w:val="BodyText"/>
              <w:rPr>
                <w:lang w:val="en-NZ"/>
              </w:rPr>
            </w:pPr>
            <w:r w:rsidRPr="005A112B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2B">
            <w:pPr>
              <w:pStyle w:val="BodyText"/>
              <w:rPr>
                <w:lang w:val="en-NZ"/>
              </w:rPr>
            </w:pPr>
            <w:r w:rsidRPr="005A112B">
              <w:t>Pre-site check is completed before entry onto worksite in accordance with regulatory and workplace requirements</w:t>
            </w:r>
          </w:p>
        </w:tc>
      </w:tr>
      <w:tr w:rsidTr="00183E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2B">
            <w:pPr>
              <w:pStyle w:val="BodyText"/>
              <w:rPr>
                <w:lang w:val="en-NZ"/>
              </w:rPr>
            </w:pPr>
            <w:r w:rsidRPr="005A112B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2B">
            <w:pPr>
              <w:pStyle w:val="BodyText"/>
              <w:rPr>
                <w:lang w:val="en-NZ"/>
              </w:rPr>
            </w:pPr>
            <w:r w:rsidRPr="005A112B">
              <w:t>Personal protective equipment (PPE) is worn in accordance with workplace policy</w:t>
            </w:r>
          </w:p>
        </w:tc>
      </w:tr>
      <w:tr w:rsidTr="00183E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2B">
            <w:pPr>
              <w:pStyle w:val="BodyText"/>
              <w:rPr>
                <w:lang w:val="en-NZ"/>
              </w:rPr>
            </w:pPr>
            <w:r w:rsidRPr="005A112B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2B">
            <w:pPr>
              <w:pStyle w:val="BodyText"/>
              <w:rPr>
                <w:lang w:val="en-NZ"/>
              </w:rPr>
            </w:pPr>
            <w:r w:rsidRPr="005A112B">
              <w:t>Vehicle is parked and secured in accordance with manufacturer specifications, traffic regulations and workplace procedures</w:t>
            </w:r>
          </w:p>
        </w:tc>
      </w:tr>
      <w:tr w:rsidTr="00183E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2B">
            <w:pPr>
              <w:pStyle w:val="BodyText"/>
              <w:rPr>
                <w:lang w:val="en-NZ"/>
              </w:rPr>
            </w:pPr>
            <w:r w:rsidRPr="005A112B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2B">
            <w:pPr>
              <w:pStyle w:val="BodyText"/>
              <w:rPr>
                <w:lang w:val="en-NZ"/>
              </w:rPr>
            </w:pPr>
            <w:r w:rsidRPr="005A112B">
              <w:t>Ancillary equipment is attached and operated in accordance with workplace procedures and regulatory requirements</w:t>
            </w:r>
          </w:p>
        </w:tc>
      </w:tr>
      <w:tr w:rsidTr="00183E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2B">
            <w:pPr>
              <w:pStyle w:val="BodyText"/>
              <w:rPr>
                <w:lang w:val="en-NZ"/>
              </w:rPr>
            </w:pPr>
            <w:r w:rsidRPr="005A112B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2B">
            <w:pPr>
              <w:pStyle w:val="BodyText"/>
              <w:rPr>
                <w:lang w:val="en-NZ"/>
              </w:rPr>
            </w:pPr>
            <w:r w:rsidRPr="005A112B">
              <w:t>Concrete is discharged in accordance with customer requirements, and workplace policy and procedure</w:t>
            </w:r>
          </w:p>
        </w:tc>
      </w:tr>
      <w:tr w:rsidTr="00183E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12B" w:rsidP="005A112B">
            <w:pPr>
              <w:pStyle w:val="BodyText"/>
            </w:pPr>
            <w:r w:rsidRPr="005A112B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2B">
            <w:pPr>
              <w:pStyle w:val="BodyText"/>
              <w:rPr>
                <w:lang w:val="en-NZ"/>
              </w:rPr>
            </w:pPr>
            <w:r w:rsidRPr="005A112B">
              <w:rPr>
                <w:rStyle w:val="SpecialBold"/>
              </w:rPr>
              <w:t>Finalise concrete delivery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2B">
            <w:pPr>
              <w:pStyle w:val="BodyText"/>
              <w:rPr>
                <w:lang w:val="en-NZ"/>
              </w:rPr>
            </w:pPr>
            <w:r w:rsidRPr="005A112B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2B">
            <w:pPr>
              <w:pStyle w:val="BodyText"/>
              <w:rPr>
                <w:lang w:val="en-NZ"/>
              </w:rPr>
            </w:pPr>
            <w:r w:rsidRPr="005A112B">
              <w:t>Relevant documentation is completed on delivery of concrete, in accordance with customer requirements and workplace policy</w:t>
            </w:r>
            <w:r w:rsidRPr="005A112B">
              <w:t xml:space="preserve"> and procedure</w:t>
            </w:r>
          </w:p>
        </w:tc>
      </w:tr>
      <w:tr w:rsidTr="00183EC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2B">
            <w:pPr>
              <w:pStyle w:val="BodyText"/>
              <w:rPr>
                <w:lang w:val="en-NZ"/>
              </w:rPr>
            </w:pPr>
            <w:r w:rsidRPr="005A112B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12B" w:rsidP="005A112B">
            <w:pPr>
              <w:pStyle w:val="BodyText"/>
            </w:pPr>
            <w:r w:rsidRPr="005A112B">
              <w:t>Vehicle is cleaned in accordance with organisational policy and regulatory requirements</w:t>
            </w:r>
          </w:p>
        </w:tc>
      </w:tr>
    </w:tbl>
    <w:p w:rsidR="00183EC9" w:rsidP="005A112B">
      <w:pPr>
        <w:pStyle w:val="BodyText"/>
      </w:pPr>
    </w:p>
    <w:p w:rsidR="00183EC9" w:rsidP="005A112B">
      <w:pPr>
        <w:pStyle w:val="BodyText"/>
      </w:pPr>
    </w:p>
    <w:p w:rsidR="00000000" w:rsidRPr="005A112B" w:rsidP="005A112B">
      <w:pPr>
        <w:pStyle w:val="Heading1"/>
      </w:pPr>
      <w:bookmarkStart w:id="7" w:name="O_842230"/>
      <w:bookmarkEnd w:id="7"/>
      <w:r w:rsidRPr="005A112B">
        <w:t>Foundation Skills</w:t>
      </w:r>
    </w:p>
    <w:p w:rsidR="00183EC9" w:rsidP="00183EC9">
      <w:pPr>
        <w:pStyle w:val="BodyText"/>
      </w:pPr>
      <w:r w:rsidRPr="005A112B">
        <w:t>Foundation skills essential to performance are explicit in the performance criteria of this unit of competency.</w:t>
      </w:r>
    </w:p>
    <w:p w:rsidR="00000000" w:rsidRPr="005A112B" w:rsidP="005A112B">
      <w:pPr>
        <w:pStyle w:val="Heading1"/>
      </w:pPr>
      <w:bookmarkStart w:id="8" w:name="O_842231"/>
      <w:bookmarkEnd w:id="8"/>
      <w:r w:rsidRPr="005A112B">
        <w:t>Range of Conditions</w:t>
      </w:r>
    </w:p>
    <w:p w:rsidR="00000000" w:rsidRPr="005A112B" w:rsidP="00183EC9">
      <w:pPr>
        <w:pStyle w:val="BodyText"/>
      </w:pPr>
      <w:r w:rsidRPr="005A112B">
        <w:t>Range is restricted to essential operating conditions and any other variables essential to the work enviro</w:t>
      </w:r>
      <w:r w:rsidRPr="005A112B">
        <w:t>nment.</w:t>
      </w:r>
    </w:p>
    <w:p w:rsidR="00183EC9" w:rsidP="00183EC9">
      <w:pPr>
        <w:pStyle w:val="BodyText"/>
      </w:pPr>
      <w:r w:rsidRPr="005A112B">
        <w:t>Non-essential conditions can be found in the Companion Volume Implementation Guide.</w:t>
      </w:r>
    </w:p>
    <w:p w:rsidR="00000000" w:rsidRPr="005A112B" w:rsidP="005A112B">
      <w:pPr>
        <w:pStyle w:val="Heading1"/>
      </w:pPr>
      <w:bookmarkStart w:id="9" w:name="O_842232"/>
      <w:bookmarkEnd w:id="9"/>
      <w:r w:rsidRPr="005A112B">
        <w:t>Unit Mapping Information</w:t>
      </w:r>
    </w:p>
    <w:p w:rsidR="00183EC9" w:rsidP="00183EC9">
      <w:pPr>
        <w:pStyle w:val="BodyText"/>
      </w:pPr>
      <w:r w:rsidRPr="005A112B">
        <w:t>This unit replaces and is equivalent to TLIC3071A Operate an agitator.</w:t>
      </w:r>
    </w:p>
    <w:p w:rsidR="00000000" w:rsidRPr="005A112B" w:rsidP="005A112B">
      <w:pPr>
        <w:pStyle w:val="Heading1"/>
      </w:pPr>
      <w:bookmarkStart w:id="10" w:name="O_842239"/>
      <w:bookmarkEnd w:id="10"/>
      <w:r w:rsidRPr="005A112B">
        <w:t>Links</w:t>
      </w:r>
    </w:p>
    <w:p w:rsidR="00000000" w:rsidRPr="005A112B" w:rsidP="00183EC9">
      <w:pPr>
        <w:pStyle w:val="BodyText"/>
      </w:pPr>
      <w:r w:rsidRPr="005A112B">
        <w:t>Companion Volume implementa</w:t>
      </w:r>
      <w:r w:rsidRPr="005A112B">
        <w:t xml:space="preserve">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30D6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A112B" w:rsidP="005A112B"/>
    <w:sectPr w:rsidSect="005A11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1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12B" w:rsidRPr="00183EC9" w:rsidP="00183E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1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EC9" w:rsidP="005A11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3EC9" w:rsidP="005A11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83EC9" w:rsidP="005A11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1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E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112B" w:rsidRPr="00183EC9" w:rsidP="00183E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1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EC9" w:rsidRPr="002D2AF8" w:rsidP="005A11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TLIC3071 Operate an agitator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183EC9" w:rsidP="005A11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1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11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11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11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11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11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11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11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11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11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11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112B"/>
  </w:style>
  <w:style w:type="character" w:customStyle="1" w:styleId="Heading1Char">
    <w:name w:val="Heading 1 Char"/>
    <w:basedOn w:val="DefaultParagraphFont"/>
    <w:link w:val="Heading1"/>
    <w:rsid w:val="005A11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11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112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A112B"/>
    <w:rPr>
      <w:b/>
      <w:spacing w:val="0"/>
    </w:rPr>
  </w:style>
  <w:style w:type="paragraph" w:customStyle="1" w:styleId="SuperHeading">
    <w:name w:val="SuperHeading"/>
    <w:basedOn w:val="Normal"/>
    <w:rsid w:val="005A11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11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11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11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11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11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11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11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11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11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11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11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11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11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11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11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11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11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11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11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11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112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A11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11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11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11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112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11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11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11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11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11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11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11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11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11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112B"/>
    <w:rPr>
      <w:i/>
    </w:rPr>
  </w:style>
  <w:style w:type="paragraph" w:styleId="Caption">
    <w:name w:val="caption"/>
    <w:basedOn w:val="BodyText"/>
    <w:next w:val="Normal"/>
    <w:qFormat/>
    <w:rsid w:val="005A11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11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11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112B"/>
  </w:style>
  <w:style w:type="paragraph" w:styleId="TableofFigures">
    <w:name w:val="table of figures"/>
    <w:basedOn w:val="Normal"/>
    <w:next w:val="Normal"/>
    <w:semiHidden/>
    <w:rsid w:val="005A11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112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A112B"/>
    <w:rPr>
      <w:rFonts w:ascii="Wingdings" w:hAnsi="Wingdings"/>
    </w:rPr>
  </w:style>
  <w:style w:type="paragraph" w:customStyle="1" w:styleId="TableHeading">
    <w:name w:val="Table Heading"/>
    <w:basedOn w:val="HeadingBase"/>
    <w:rsid w:val="005A11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112B"/>
    <w:rPr>
      <w:color w:val="0033CC"/>
      <w:u w:val="none"/>
    </w:rPr>
  </w:style>
  <w:style w:type="paragraph" w:customStyle="1" w:styleId="BodyTextRight">
    <w:name w:val="Body Text Right"/>
    <w:basedOn w:val="BodyText"/>
    <w:rsid w:val="005A11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11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112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11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11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11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112B"/>
    <w:rPr>
      <w:sz w:val="32"/>
    </w:rPr>
  </w:style>
  <w:style w:type="paragraph" w:customStyle="1" w:styleId="HeadingProcedure">
    <w:name w:val="Heading Procedure"/>
    <w:basedOn w:val="HeadingBase"/>
    <w:next w:val="Normal"/>
    <w:rsid w:val="005A11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112B"/>
    <w:pPr>
      <w:spacing w:before="60" w:after="60"/>
    </w:pPr>
  </w:style>
  <w:style w:type="paragraph" w:styleId="ListContinue">
    <w:name w:val="List Continue"/>
    <w:basedOn w:val="List"/>
    <w:rsid w:val="005A112B"/>
    <w:pPr>
      <w:ind w:firstLine="0"/>
    </w:pPr>
  </w:style>
  <w:style w:type="paragraph" w:customStyle="1" w:styleId="ListNote">
    <w:name w:val="List Note"/>
    <w:basedOn w:val="List"/>
    <w:rsid w:val="005A11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11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11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112B"/>
    <w:rPr>
      <w:rFonts w:ascii="Courier New" w:hAnsi="Courier New"/>
    </w:rPr>
  </w:style>
  <w:style w:type="paragraph" w:customStyle="1" w:styleId="NoteBullet">
    <w:name w:val="Note Bullet"/>
    <w:basedOn w:val="Note"/>
    <w:rsid w:val="005A11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11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11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11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112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A11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11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112B"/>
    <w:rPr>
      <w:b/>
      <w:smallCaps/>
    </w:rPr>
  </w:style>
  <w:style w:type="paragraph" w:customStyle="1" w:styleId="TableListNumber">
    <w:name w:val="Table List Number"/>
    <w:basedOn w:val="ListNumber"/>
    <w:rsid w:val="005A11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11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112B"/>
    <w:pPr>
      <w:numPr>
        <w:numId w:val="7"/>
      </w:numPr>
    </w:pPr>
  </w:style>
  <w:style w:type="paragraph" w:customStyle="1" w:styleId="ListAlpha2">
    <w:name w:val="List Alpha 2"/>
    <w:basedOn w:val="List2"/>
    <w:rsid w:val="005A112B"/>
    <w:pPr>
      <w:numPr>
        <w:numId w:val="6"/>
      </w:numPr>
    </w:pPr>
  </w:style>
  <w:style w:type="paragraph" w:styleId="List2">
    <w:name w:val="List 2"/>
    <w:basedOn w:val="BodyText"/>
    <w:rsid w:val="005A11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11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11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11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112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112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A112B"/>
    <w:pPr>
      <w:numPr>
        <w:numId w:val="2"/>
      </w:numPr>
    </w:pPr>
  </w:style>
  <w:style w:type="paragraph" w:styleId="ListContinue2">
    <w:name w:val="List Continue 2"/>
    <w:basedOn w:val="List2"/>
    <w:rsid w:val="005A112B"/>
    <w:pPr>
      <w:ind w:firstLine="0"/>
    </w:pPr>
  </w:style>
  <w:style w:type="paragraph" w:styleId="ListContinue3">
    <w:name w:val="List Continue 3"/>
    <w:basedOn w:val="List3"/>
    <w:rsid w:val="005A112B"/>
    <w:pPr>
      <w:ind w:left="1021" w:firstLine="0"/>
    </w:pPr>
  </w:style>
  <w:style w:type="paragraph" w:styleId="ListContinue4">
    <w:name w:val="List Continue 4"/>
    <w:basedOn w:val="List4"/>
    <w:rsid w:val="005A112B"/>
    <w:pPr>
      <w:ind w:firstLine="0"/>
    </w:pPr>
  </w:style>
  <w:style w:type="paragraph" w:styleId="ListContinue5">
    <w:name w:val="List Continue 5"/>
    <w:basedOn w:val="List5"/>
    <w:rsid w:val="005A112B"/>
    <w:pPr>
      <w:ind w:firstLine="0"/>
    </w:pPr>
  </w:style>
  <w:style w:type="paragraph" w:styleId="ListNumber3">
    <w:name w:val="List Number 3"/>
    <w:basedOn w:val="List3"/>
    <w:rsid w:val="005A112B"/>
    <w:pPr>
      <w:numPr>
        <w:numId w:val="3"/>
      </w:numPr>
    </w:pPr>
  </w:style>
  <w:style w:type="paragraph" w:styleId="ListNumber4">
    <w:name w:val="List Number 4"/>
    <w:basedOn w:val="List4"/>
    <w:rsid w:val="005A112B"/>
    <w:pPr>
      <w:numPr>
        <w:numId w:val="4"/>
      </w:numPr>
    </w:pPr>
  </w:style>
  <w:style w:type="paragraph" w:styleId="ListNumber5">
    <w:name w:val="List Number 5"/>
    <w:basedOn w:val="List5"/>
    <w:rsid w:val="005A112B"/>
    <w:pPr>
      <w:numPr>
        <w:numId w:val="5"/>
      </w:numPr>
    </w:pPr>
  </w:style>
  <w:style w:type="paragraph" w:styleId="BlockText">
    <w:name w:val="Block Text"/>
    <w:basedOn w:val="Normal"/>
    <w:rsid w:val="005A11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11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112B"/>
    <w:rPr>
      <w:sz w:val="16"/>
      <w:vertAlign w:val="superscript"/>
    </w:rPr>
  </w:style>
  <w:style w:type="character" w:customStyle="1" w:styleId="Symbols">
    <w:name w:val="Symbols"/>
    <w:basedOn w:val="DefaultParagraphFont"/>
    <w:rsid w:val="005A112B"/>
    <w:rPr>
      <w:rFonts w:ascii="Symbol" w:hAnsi="Symbol"/>
    </w:rPr>
  </w:style>
  <w:style w:type="character" w:customStyle="1" w:styleId="MenuOptions">
    <w:name w:val="Menu Options"/>
    <w:basedOn w:val="DefaultParagraphFont"/>
    <w:rsid w:val="005A11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112B"/>
    <w:rPr>
      <w:b/>
    </w:rPr>
  </w:style>
  <w:style w:type="character" w:customStyle="1" w:styleId="Underlined">
    <w:name w:val="Underlined"/>
    <w:basedOn w:val="DefaultParagraphFont"/>
    <w:rsid w:val="005A112B"/>
    <w:rPr>
      <w:u w:val="single"/>
    </w:rPr>
  </w:style>
  <w:style w:type="paragraph" w:customStyle="1" w:styleId="TableBodyTextRight">
    <w:name w:val="Table Body Text Right"/>
    <w:basedOn w:val="TableBodyText"/>
    <w:rsid w:val="005A11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112B"/>
    <w:rPr>
      <w:sz w:val="18"/>
    </w:rPr>
  </w:style>
  <w:style w:type="paragraph" w:customStyle="1" w:styleId="BodySmallRight">
    <w:name w:val="Body Small Right"/>
    <w:basedOn w:val="BodyTextRight"/>
    <w:rsid w:val="005A112B"/>
    <w:rPr>
      <w:sz w:val="18"/>
      <w:szCs w:val="18"/>
    </w:rPr>
  </w:style>
  <w:style w:type="paragraph" w:customStyle="1" w:styleId="MarginEdition">
    <w:name w:val="Margin Edition"/>
    <w:basedOn w:val="MarginNote"/>
    <w:rsid w:val="005A11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112B"/>
    <w:rPr>
      <w:sz w:val="2"/>
      <w:szCs w:val="2"/>
    </w:rPr>
  </w:style>
  <w:style w:type="character" w:customStyle="1" w:styleId="Small">
    <w:name w:val="Small"/>
    <w:basedOn w:val="DefaultParagraphFont"/>
    <w:rsid w:val="005A112B"/>
    <w:rPr>
      <w:sz w:val="16"/>
    </w:rPr>
  </w:style>
  <w:style w:type="paragraph" w:customStyle="1" w:styleId="WideTable">
    <w:name w:val="Wide Table"/>
    <w:basedOn w:val="Normal"/>
    <w:rsid w:val="005A11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112B"/>
  </w:style>
  <w:style w:type="paragraph" w:styleId="Quote">
    <w:name w:val="Quote"/>
    <w:basedOn w:val="Heading1"/>
    <w:link w:val="QuoteChar"/>
    <w:qFormat/>
    <w:rsid w:val="005A11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11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112B"/>
    <w:pPr>
      <w:pageBreakBefore/>
    </w:pPr>
  </w:style>
  <w:style w:type="paragraph" w:customStyle="1" w:styleId="Border">
    <w:name w:val="Border"/>
    <w:basedOn w:val="Normal"/>
    <w:qFormat/>
    <w:rsid w:val="005A11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11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11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11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11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11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11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11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11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112B"/>
    <w:rPr>
      <w:u w:val="single"/>
    </w:rPr>
  </w:style>
  <w:style w:type="character" w:customStyle="1" w:styleId="BoldandItalics">
    <w:name w:val="Bold and Italics"/>
    <w:qFormat/>
    <w:rsid w:val="005A112B"/>
    <w:rPr>
      <w:b/>
      <w:i/>
      <w:u w:val="none"/>
    </w:rPr>
  </w:style>
  <w:style w:type="paragraph" w:styleId="BalloonText">
    <w:name w:val="Balloon Text"/>
    <w:basedOn w:val="Normal"/>
    <w:link w:val="BalloonTextChar"/>
    <w:rsid w:val="005A11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11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11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11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11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11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112B"/>
    <w:pPr>
      <w:spacing w:before="0" w:after="0"/>
    </w:pPr>
  </w:style>
  <w:style w:type="paragraph" w:customStyle="1" w:styleId="BodyTextBold">
    <w:name w:val="Body Text Bold"/>
    <w:basedOn w:val="BodyText"/>
    <w:qFormat/>
    <w:rsid w:val="005A112B"/>
    <w:rPr>
      <w:b/>
    </w:rPr>
  </w:style>
  <w:style w:type="character" w:styleId="Hyperlink">
    <w:name w:val="Hyperlink"/>
    <w:basedOn w:val="DefaultParagraphFont"/>
    <w:uiPriority w:val="99"/>
    <w:unhideWhenUsed/>
    <w:rsid w:val="00183E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3476</Characters>
  <Application>Microsoft Office Word</Application>
  <DocSecurity>0</DocSecurity>
  <Lines>158</Lines>
  <Paragraphs>89</Paragraphs>
  <ScaleCrop>false</ScaleCrop>
  <Company>Author-it Software Corporation Ltd.</Company>
  <LinksUpToDate>false</LinksUpToDate>
  <CharactersWithSpaces>3929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TLIC3071 Operate an agitator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2021-04-12T01:52:00Z</dcterms:created>
  <dcterms:modified xsi:type="dcterms:W3CDTF">2021-04-12T01:52:00Z</dcterms:modified>
</cp:coreProperties>
</file>