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EAF" w:rsidP="002A7E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TLIC3052 Assist with shunting, coupling and uncoupling electric passenger trains</w:t>
      </w:r>
      <w:r>
        <w:fldChar w:fldCharType="end"/>
      </w:r>
    </w:p>
    <w:p w:rsidR="002A7EAF" w:rsidP="002A7EAF">
      <w:pPr>
        <w:pStyle w:val="Version"/>
        <w:sectPr w:rsidSect="005459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59C6" w:rsidP="005459C6">
      <w:pPr>
        <w:pStyle w:val="SuperHeading"/>
      </w:pPr>
      <w:r w:rsidRPr="005459C6">
        <w:t>TLIC3052 Assist with shunting, coupling and uncoupling electric passenger trains</w:t>
      </w:r>
    </w:p>
    <w:p w:rsidR="00000000" w:rsidRPr="005459C6" w:rsidP="005459C6">
      <w:pPr>
        <w:pStyle w:val="Heading1"/>
      </w:pPr>
      <w:bookmarkStart w:id="1" w:name="O_750894"/>
      <w:bookmarkEnd w:id="1"/>
      <w:r w:rsidRPr="005459C6">
        <w:t>Modification History</w:t>
      </w:r>
    </w:p>
    <w:p w:rsidR="002A7EAF" w:rsidP="002A7EAF">
      <w:pPr>
        <w:pStyle w:val="BodyText"/>
      </w:pPr>
      <w:r w:rsidRPr="005459C6">
        <w:t>Release 1. This is the first release of this unit of competency in the TLI Transport and Logistics Training Package.</w:t>
      </w:r>
    </w:p>
    <w:p w:rsidR="00000000" w:rsidRPr="005459C6" w:rsidP="005459C6">
      <w:pPr>
        <w:pStyle w:val="Heading1"/>
      </w:pPr>
      <w:bookmarkStart w:id="2" w:name="O_750895"/>
      <w:bookmarkEnd w:id="2"/>
      <w:r w:rsidRPr="005459C6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A7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9C6" w:rsidP="005459C6">
            <w:pPr>
              <w:pStyle w:val="BodyText"/>
            </w:pPr>
            <w:r w:rsidRPr="005459C6">
              <w:t>This unit involves the skills and knowledge required to assist a train driver to shunt, couple and uncouple an electric passenger train to operational requirements in accordance with safeworking and regulatory requirements, and workplace proced</w:t>
            </w:r>
            <w:r w:rsidRPr="005459C6">
              <w:t>ures.</w:t>
            </w:r>
          </w:p>
          <w:p w:rsidR="00000000" w:rsidRPr="005459C6" w:rsidP="005459C6">
            <w:pPr>
              <w:pStyle w:val="BodyText"/>
            </w:pPr>
            <w:r w:rsidRPr="005459C6">
              <w:t>It includes assisting with: planning and preparing for shunting operations, shunting the train, coupling and uncoupling the train, and using a coupling adaptor.</w:t>
            </w:r>
          </w:p>
          <w:p w:rsidR="00000000" w:rsidRPr="005459C6" w:rsidP="005459C6">
            <w:pPr>
              <w:pStyle w:val="BodyText"/>
            </w:pPr>
            <w:r w:rsidRPr="005459C6">
              <w:t>People achieving competence in this unit will need to fulfil the applicable state/territo</w:t>
            </w:r>
            <w:r w:rsidRPr="005459C6">
              <w:t>ry legislated rail safety and safeworking requirements and to comply with relevant codes of practice and/or guidelines.</w:t>
            </w:r>
          </w:p>
          <w:p w:rsidR="00000000" w:rsidRPr="005459C6" w:rsidP="005459C6">
            <w:pPr>
              <w:pStyle w:val="BodyText"/>
            </w:pPr>
            <w:r w:rsidRPr="005459C6">
              <w:t>Work is performed with minimal supervision, generally within a team environment. It involves the application of routine operational prin</w:t>
            </w:r>
            <w:r w:rsidRPr="005459C6">
              <w:t>ciples and procedures to assist with shunting, coupling and uncoupling electric passenger trains to operational requirements as part of workplace activities across a variety of operational contexts within the Australian rail system.</w:t>
            </w:r>
          </w:p>
          <w:p w:rsidR="00000000" w:rsidRPr="005459C6" w:rsidP="005459C6">
            <w:pPr>
              <w:pStyle w:val="BodyText"/>
            </w:pPr>
            <w:r w:rsidRPr="005459C6">
              <w:t>No licensing, legislati</w:t>
            </w:r>
            <w:r w:rsidRPr="005459C6">
              <w:t>ve or certification requirements apply to this unit at the time of publication.</w:t>
            </w:r>
          </w:p>
        </w:tc>
      </w:tr>
    </w:tbl>
    <w:p w:rsidR="002A7EAF" w:rsidP="005459C6">
      <w:pPr>
        <w:pStyle w:val="BodyText"/>
      </w:pPr>
    </w:p>
    <w:p w:rsidR="002A7EAF" w:rsidP="005459C6">
      <w:pPr>
        <w:pStyle w:val="BodyText"/>
      </w:pPr>
    </w:p>
    <w:p w:rsidR="00000000" w:rsidRPr="005459C6" w:rsidP="005459C6">
      <w:pPr>
        <w:pStyle w:val="Heading1"/>
      </w:pPr>
      <w:bookmarkStart w:id="3" w:name="O_750896"/>
      <w:bookmarkEnd w:id="3"/>
      <w:r w:rsidRPr="005459C6">
        <w:t>Pre-requisite Unit</w:t>
      </w:r>
    </w:p>
    <w:p w:rsidR="00000000" w:rsidRPr="005459C6" w:rsidP="002A7EAF">
      <w:pPr>
        <w:pStyle w:val="BodyText"/>
      </w:pPr>
      <w:r w:rsidRPr="005459C6">
        <w:t>Not applicable.</w:t>
      </w:r>
    </w:p>
    <w:p w:rsidR="00000000" w:rsidRPr="005459C6" w:rsidP="005459C6">
      <w:pPr>
        <w:pStyle w:val="Heading1"/>
      </w:pPr>
      <w:bookmarkStart w:id="4" w:name="O_750897"/>
      <w:bookmarkEnd w:id="4"/>
      <w:r w:rsidRPr="005459C6">
        <w:t>Competency Field</w:t>
      </w:r>
    </w:p>
    <w:p w:rsidR="002A7EAF" w:rsidP="002A7EAF">
      <w:pPr>
        <w:pStyle w:val="BodyText"/>
      </w:pPr>
      <w:r w:rsidRPr="005459C6">
        <w:t>C – Vehicle Operation</w:t>
      </w:r>
    </w:p>
    <w:p w:rsidR="00000000" w:rsidRPr="005459C6" w:rsidP="005459C6">
      <w:pPr>
        <w:pStyle w:val="Heading1"/>
      </w:pPr>
      <w:bookmarkStart w:id="5" w:name="O_750898"/>
      <w:bookmarkEnd w:id="5"/>
      <w:r w:rsidRPr="005459C6">
        <w:t>Unit Sector</w:t>
      </w:r>
    </w:p>
    <w:p w:rsidR="00000000" w:rsidRPr="005459C6" w:rsidP="002A7EAF">
      <w:pPr>
        <w:pStyle w:val="BodyText"/>
      </w:pPr>
      <w:r w:rsidRPr="005459C6">
        <w:t>Not applicable.</w:t>
      </w:r>
    </w:p>
    <w:p w:rsidR="00000000" w:rsidRPr="005459C6" w:rsidP="005459C6">
      <w:pPr>
        <w:pStyle w:val="Heading1"/>
      </w:pPr>
      <w:bookmarkStart w:id="6" w:name="O_750899"/>
      <w:bookmarkEnd w:id="6"/>
      <w:r w:rsidRPr="005459C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549"/>
        <w:gridCol w:w="6561"/>
      </w:tblGrid>
      <w:tr w:rsidTr="002A7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9C6" w:rsidP="005459C6">
            <w:pPr>
              <w:pStyle w:val="BodyText"/>
            </w:pPr>
            <w:r w:rsidRPr="005459C6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rPr>
                <w:rStyle w:val="SpecialBold"/>
              </w:rPr>
              <w:t>PERFORMANCE CRITERIA</w:t>
            </w:r>
          </w:p>
        </w:tc>
      </w:tr>
      <w:tr w:rsidTr="002A7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Performance criteria describe the performance needed to demonstrate achievement of the element.</w:t>
            </w:r>
          </w:p>
        </w:tc>
      </w:tr>
      <w:tr w:rsidTr="002A7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9C6" w:rsidP="005459C6">
            <w:pPr>
              <w:pStyle w:val="BodyText"/>
            </w:pPr>
            <w:r w:rsidRPr="005459C6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rPr>
                <w:rStyle w:val="SpecialBold"/>
              </w:rPr>
              <w:t>Assist with preparing for shunting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1</w:t>
            </w:r>
            <w:r w:rsidRPr="005459C6">
              <w:t>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Shunting requirements are confirmed through workplace documents and/or relevant personnel</w:t>
            </w:r>
          </w:p>
        </w:tc>
      </w:tr>
      <w:tr w:rsidTr="002A7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Local safety requirements are identified and followed in accordance with workplace procedures</w:t>
            </w:r>
          </w:p>
        </w:tc>
      </w:tr>
      <w:tr w:rsidTr="002A7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Hazards are identified, risks a</w:t>
            </w:r>
            <w:r w:rsidRPr="005459C6">
              <w:t>re assessed and risk control measures are implemented</w:t>
            </w:r>
          </w:p>
        </w:tc>
      </w:tr>
      <w:tr w:rsidTr="002A7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Relevant work health and safety (WHS)/occupational health and safety (OHS) requirements are followed to prevent injury and damage</w:t>
            </w:r>
          </w:p>
        </w:tc>
      </w:tr>
      <w:tr w:rsidTr="002A7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9C6" w:rsidP="005459C6">
            <w:pPr>
              <w:pStyle w:val="BodyText"/>
            </w:pPr>
            <w:r w:rsidRPr="005459C6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rPr>
                <w:rStyle w:val="SpecialBold"/>
              </w:rPr>
              <w:t>Assist with shunting trains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Points, levers, and/or switches are operated in accordance with workplace requirements as required</w:t>
            </w:r>
          </w:p>
        </w:tc>
      </w:tr>
      <w:tr w:rsidTr="002A7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Audible signals, hand signals and other line of sight communications are used to assist control of train movements</w:t>
            </w:r>
          </w:p>
        </w:tc>
      </w:tr>
      <w:tr w:rsidTr="002A7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Hand, light and radio shunti</w:t>
            </w:r>
            <w:r w:rsidRPr="005459C6">
              <w:t>ng commands used are responded to in accordance with workplace requirements</w:t>
            </w:r>
          </w:p>
        </w:tc>
      </w:tr>
      <w:tr w:rsidTr="002A7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Pre</w:t>
            </w:r>
            <w:r w:rsidRPr="005459C6">
              <w:noBreakHyphen/>
              <w:t>movement inspection/tests are carried out prior to moving trains</w:t>
            </w:r>
          </w:p>
        </w:tc>
      </w:tr>
      <w:tr w:rsidTr="002A7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9C6" w:rsidP="005459C6">
            <w:pPr>
              <w:pStyle w:val="BodyText"/>
            </w:pPr>
            <w:r w:rsidRPr="005459C6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rPr>
                <w:rStyle w:val="SpecialBold"/>
              </w:rPr>
              <w:t>Assist with coupling trains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Type of connections required are identified prior to coupling</w:t>
            </w:r>
          </w:p>
        </w:tc>
      </w:tr>
      <w:tr w:rsidTr="002A7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Trains to be coupled are positioned in accordance with operating procedures and workplace requirements, to ensure couplers are aligned and in the appropriate position for type of connection required</w:t>
            </w:r>
          </w:p>
        </w:tc>
      </w:tr>
      <w:tr w:rsidTr="002A7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All safety requirements are met prior to coupling trains</w:t>
            </w:r>
          </w:p>
        </w:tc>
      </w:tr>
      <w:tr w:rsidTr="002A7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After trains are coupled, post</w:t>
            </w:r>
            <w:r w:rsidRPr="005459C6">
              <w:noBreakHyphen/>
              <w:t>coupling inspection/tests are carried out in accordance with operating procedures and workplace requirements</w:t>
            </w:r>
          </w:p>
        </w:tc>
      </w:tr>
      <w:tr w:rsidTr="002A7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9C6" w:rsidP="005459C6">
            <w:pPr>
              <w:pStyle w:val="BodyText"/>
            </w:pPr>
            <w:r w:rsidRPr="005459C6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rPr>
                <w:rStyle w:val="SpecialBold"/>
              </w:rPr>
              <w:t>Assist with uncoupling trains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Train to be unc</w:t>
            </w:r>
            <w:r w:rsidRPr="005459C6">
              <w:t>oupled is identified and checks are made to ensure all safety requirements are met prior to uncoupling</w:t>
            </w:r>
          </w:p>
        </w:tc>
      </w:tr>
      <w:tr w:rsidTr="002A7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Train is uncoupled in accordance with operating procedures and workplace requirements</w:t>
            </w:r>
          </w:p>
        </w:tc>
      </w:tr>
      <w:tr w:rsidTr="002A7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Post</w:t>
            </w:r>
            <w:r w:rsidRPr="005459C6">
              <w:noBreakHyphen/>
              <w:t>uncoupling inspecti</w:t>
            </w:r>
            <w:r w:rsidRPr="005459C6">
              <w:t>on/tests are carried out in accordance with operating procedures and workplace requirements</w:t>
            </w:r>
          </w:p>
        </w:tc>
      </w:tr>
      <w:tr w:rsidTr="002A7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9C6" w:rsidP="005459C6">
            <w:pPr>
              <w:pStyle w:val="BodyText"/>
            </w:pPr>
            <w:r w:rsidRPr="005459C6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rPr>
                <w:rStyle w:val="SpecialBold"/>
              </w:rPr>
              <w:t xml:space="preserve">Use coupling </w:t>
            </w:r>
            <w:r w:rsidRPr="005459C6">
              <w:rPr>
                <w:rStyle w:val="SpecialBold"/>
              </w:rPr>
              <w:t>adaptor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 xml:space="preserve">Situations requiring the use of a coupling adaptor are identified in accordance with </w:t>
            </w:r>
            <w:r w:rsidRPr="005459C6">
              <w:t>workplace procedures</w:t>
            </w:r>
          </w:p>
        </w:tc>
      </w:tr>
      <w:tr w:rsidTr="002A7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Coupling adaptor is accessed and transported to required location for use</w:t>
            </w:r>
          </w:p>
        </w:tc>
      </w:tr>
      <w:tr w:rsidTr="002A7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All safety requirements are met prior to fitting coupling adaptor</w:t>
            </w:r>
          </w:p>
        </w:tc>
      </w:tr>
      <w:tr w:rsidTr="002A7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Coupling adaptor is attached to one of the trains prior to coupling in accordance with workplace proce</w:t>
            </w:r>
            <w:r w:rsidRPr="005459C6">
              <w:t>dures</w:t>
            </w:r>
          </w:p>
        </w:tc>
      </w:tr>
      <w:tr w:rsidTr="002A7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Trains are coupled in accordance with workplace procedures and coupling adaptor is secured in place</w:t>
            </w:r>
          </w:p>
        </w:tc>
      </w:tr>
      <w:tr w:rsidTr="002A7E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9C6">
            <w:pPr>
              <w:pStyle w:val="BodyText"/>
              <w:rPr>
                <w:lang w:val="en-NZ"/>
              </w:rPr>
            </w:pPr>
            <w:r w:rsidRPr="005459C6"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9C6" w:rsidP="005459C6">
            <w:pPr>
              <w:pStyle w:val="BodyText"/>
            </w:pPr>
            <w:r w:rsidRPr="005459C6">
              <w:t>Post</w:t>
            </w:r>
            <w:r w:rsidRPr="005459C6">
              <w:noBreakHyphen/>
              <w:t>coupling inspection/tests and/or procedures are carried out in accordance with operating procedures and workplace requirements</w:t>
            </w:r>
          </w:p>
        </w:tc>
      </w:tr>
    </w:tbl>
    <w:p w:rsidR="002A7EAF" w:rsidP="005459C6">
      <w:pPr>
        <w:pStyle w:val="BodyText"/>
      </w:pPr>
    </w:p>
    <w:p w:rsidR="002A7EAF" w:rsidP="005459C6">
      <w:pPr>
        <w:pStyle w:val="BodyText"/>
      </w:pPr>
    </w:p>
    <w:p w:rsidR="00000000" w:rsidRPr="005459C6" w:rsidP="005459C6">
      <w:pPr>
        <w:pStyle w:val="Heading1"/>
      </w:pPr>
      <w:bookmarkStart w:id="7" w:name="O_750900"/>
      <w:bookmarkEnd w:id="7"/>
      <w:r w:rsidRPr="005459C6">
        <w:t>Foundation Skills</w:t>
      </w:r>
    </w:p>
    <w:p w:rsidR="002A7EAF" w:rsidP="002A7EAF">
      <w:pPr>
        <w:pStyle w:val="BodyText"/>
      </w:pPr>
      <w:r w:rsidRPr="005459C6">
        <w:t>Foundation skills essential to performance are explicit in the performance criteria of this unit of competency.</w:t>
      </w:r>
    </w:p>
    <w:p w:rsidR="00000000" w:rsidRPr="005459C6" w:rsidP="005459C6">
      <w:pPr>
        <w:pStyle w:val="Heading1"/>
      </w:pPr>
      <w:bookmarkStart w:id="8" w:name="O_750901"/>
      <w:bookmarkEnd w:id="8"/>
      <w:r w:rsidRPr="005459C6">
        <w:t>Range of Conditions</w:t>
      </w:r>
    </w:p>
    <w:p w:rsidR="00000000" w:rsidRPr="005459C6" w:rsidP="002A7EAF">
      <w:pPr>
        <w:pStyle w:val="BodyText"/>
      </w:pPr>
      <w:r w:rsidRPr="005459C6">
        <w:t>Range is restricted to essential operating conditions and any other vari</w:t>
      </w:r>
      <w:r w:rsidRPr="005459C6">
        <w:t>ables essential to the work environment.</w:t>
      </w:r>
    </w:p>
    <w:p w:rsidR="002A7EAF" w:rsidP="002A7EAF">
      <w:pPr>
        <w:pStyle w:val="BodyText"/>
      </w:pPr>
      <w:r w:rsidRPr="005459C6">
        <w:t>Non-essential conditions can be found in the Companion Volume Implementation Guide.</w:t>
      </w:r>
    </w:p>
    <w:p w:rsidR="00000000" w:rsidRPr="005459C6" w:rsidP="005459C6">
      <w:pPr>
        <w:pStyle w:val="Heading1"/>
      </w:pPr>
      <w:bookmarkStart w:id="9" w:name="O_750902"/>
      <w:bookmarkEnd w:id="9"/>
      <w:r w:rsidRPr="005459C6">
        <w:t>Unit Mapping Information</w:t>
      </w:r>
    </w:p>
    <w:p w:rsidR="002A7EAF" w:rsidP="002A7EAF">
      <w:pPr>
        <w:pStyle w:val="BodyText"/>
      </w:pPr>
      <w:r w:rsidRPr="005459C6">
        <w:t>This unit replaces and is equivalent to TLIC3052A Assist with shunting, coupling and uncoupling electric passenger trains.</w:t>
      </w:r>
    </w:p>
    <w:p w:rsidR="00000000" w:rsidRPr="005459C6" w:rsidP="005459C6">
      <w:pPr>
        <w:pStyle w:val="Heading1"/>
      </w:pPr>
      <w:bookmarkStart w:id="10" w:name="O_750909"/>
      <w:bookmarkEnd w:id="10"/>
      <w:r w:rsidRPr="005459C6">
        <w:t>Links</w:t>
      </w:r>
    </w:p>
    <w:p w:rsidR="00000000" w:rsidRPr="005459C6" w:rsidP="002A7EAF">
      <w:pPr>
        <w:pStyle w:val="BodyText"/>
      </w:pPr>
      <w:r w:rsidRPr="005459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2310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459C6" w:rsidP="005459C6"/>
    <w:sectPr w:rsidSect="005459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C6" w:rsidRPr="002A7EAF" w:rsidP="002A7E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EAF" w:rsidP="005459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7EAF" w:rsidP="005459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A7EAF" w:rsidP="005459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E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9C6" w:rsidRPr="002A7EAF" w:rsidP="002A7E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9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EAF" w:rsidRPr="002D2AF8" w:rsidP="005459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TLIC3052 Assist with shunting, coupling and uncoupling electric passenger trains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2A7EAF" w:rsidP="005459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9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9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9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9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9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9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9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9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9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9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9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9C6"/>
  </w:style>
  <w:style w:type="character" w:customStyle="1" w:styleId="Heading1Char">
    <w:name w:val="Heading 1 Char"/>
    <w:basedOn w:val="DefaultParagraphFont"/>
    <w:link w:val="Heading1"/>
    <w:rsid w:val="005459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9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9C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459C6"/>
    <w:rPr>
      <w:b/>
      <w:spacing w:val="0"/>
    </w:rPr>
  </w:style>
  <w:style w:type="paragraph" w:customStyle="1" w:styleId="SuperHeading">
    <w:name w:val="SuperHeading"/>
    <w:basedOn w:val="Normal"/>
    <w:rsid w:val="005459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9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59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9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9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9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9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9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9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9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9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9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9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9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9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9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9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59C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459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59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9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9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59C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59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9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9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9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9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9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9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9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9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59C6"/>
    <w:rPr>
      <w:i/>
    </w:rPr>
  </w:style>
  <w:style w:type="paragraph" w:styleId="Caption">
    <w:name w:val="caption"/>
    <w:basedOn w:val="BodyText"/>
    <w:next w:val="Normal"/>
    <w:qFormat/>
    <w:rsid w:val="005459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9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9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9C6"/>
  </w:style>
  <w:style w:type="paragraph" w:styleId="TableofFigures">
    <w:name w:val="table of figures"/>
    <w:basedOn w:val="Normal"/>
    <w:next w:val="Normal"/>
    <w:semiHidden/>
    <w:rsid w:val="005459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9C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459C6"/>
    <w:rPr>
      <w:rFonts w:ascii="Wingdings" w:hAnsi="Wingdings"/>
    </w:rPr>
  </w:style>
  <w:style w:type="paragraph" w:customStyle="1" w:styleId="TableHeading">
    <w:name w:val="Table Heading"/>
    <w:basedOn w:val="HeadingBase"/>
    <w:rsid w:val="005459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9C6"/>
    <w:rPr>
      <w:color w:val="0033CC"/>
      <w:u w:val="none"/>
    </w:rPr>
  </w:style>
  <w:style w:type="paragraph" w:customStyle="1" w:styleId="BodyTextRight">
    <w:name w:val="Body Text Right"/>
    <w:basedOn w:val="BodyText"/>
    <w:rsid w:val="005459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9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9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9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9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9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9C6"/>
    <w:rPr>
      <w:sz w:val="32"/>
    </w:rPr>
  </w:style>
  <w:style w:type="paragraph" w:customStyle="1" w:styleId="HeadingProcedure">
    <w:name w:val="Heading Procedure"/>
    <w:basedOn w:val="HeadingBase"/>
    <w:next w:val="Normal"/>
    <w:rsid w:val="005459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9C6"/>
    <w:pPr>
      <w:spacing w:before="60" w:after="60"/>
    </w:pPr>
  </w:style>
  <w:style w:type="paragraph" w:styleId="ListContinue">
    <w:name w:val="List Continue"/>
    <w:basedOn w:val="List"/>
    <w:rsid w:val="005459C6"/>
    <w:pPr>
      <w:ind w:firstLine="0"/>
    </w:pPr>
  </w:style>
  <w:style w:type="paragraph" w:customStyle="1" w:styleId="ListNote">
    <w:name w:val="List Note"/>
    <w:basedOn w:val="List"/>
    <w:rsid w:val="005459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9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9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9C6"/>
    <w:rPr>
      <w:rFonts w:ascii="Courier New" w:hAnsi="Courier New"/>
    </w:rPr>
  </w:style>
  <w:style w:type="paragraph" w:customStyle="1" w:styleId="NoteBullet">
    <w:name w:val="Note Bullet"/>
    <w:basedOn w:val="Note"/>
    <w:rsid w:val="005459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9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9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9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9C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459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9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9C6"/>
    <w:rPr>
      <w:b/>
      <w:smallCaps/>
    </w:rPr>
  </w:style>
  <w:style w:type="paragraph" w:customStyle="1" w:styleId="TableListNumber">
    <w:name w:val="Table List Number"/>
    <w:basedOn w:val="ListNumber"/>
    <w:rsid w:val="005459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9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9C6"/>
    <w:pPr>
      <w:numPr>
        <w:numId w:val="7"/>
      </w:numPr>
    </w:pPr>
  </w:style>
  <w:style w:type="paragraph" w:customStyle="1" w:styleId="ListAlpha2">
    <w:name w:val="List Alpha 2"/>
    <w:basedOn w:val="List2"/>
    <w:rsid w:val="005459C6"/>
    <w:pPr>
      <w:numPr>
        <w:numId w:val="6"/>
      </w:numPr>
    </w:pPr>
  </w:style>
  <w:style w:type="paragraph" w:styleId="List2">
    <w:name w:val="List 2"/>
    <w:basedOn w:val="BodyText"/>
    <w:rsid w:val="005459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9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9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9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9C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9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459C6"/>
    <w:pPr>
      <w:numPr>
        <w:numId w:val="2"/>
      </w:numPr>
    </w:pPr>
  </w:style>
  <w:style w:type="paragraph" w:styleId="ListContinue2">
    <w:name w:val="List Continue 2"/>
    <w:basedOn w:val="List2"/>
    <w:rsid w:val="005459C6"/>
    <w:pPr>
      <w:ind w:firstLine="0"/>
    </w:pPr>
  </w:style>
  <w:style w:type="paragraph" w:styleId="ListContinue3">
    <w:name w:val="List Continue 3"/>
    <w:basedOn w:val="List3"/>
    <w:rsid w:val="005459C6"/>
    <w:pPr>
      <w:ind w:left="1021" w:firstLine="0"/>
    </w:pPr>
  </w:style>
  <w:style w:type="paragraph" w:styleId="ListContinue4">
    <w:name w:val="List Continue 4"/>
    <w:basedOn w:val="List4"/>
    <w:rsid w:val="005459C6"/>
    <w:pPr>
      <w:ind w:firstLine="0"/>
    </w:pPr>
  </w:style>
  <w:style w:type="paragraph" w:styleId="ListContinue5">
    <w:name w:val="List Continue 5"/>
    <w:basedOn w:val="List5"/>
    <w:rsid w:val="005459C6"/>
    <w:pPr>
      <w:ind w:firstLine="0"/>
    </w:pPr>
  </w:style>
  <w:style w:type="paragraph" w:styleId="ListNumber3">
    <w:name w:val="List Number 3"/>
    <w:basedOn w:val="List3"/>
    <w:rsid w:val="005459C6"/>
    <w:pPr>
      <w:numPr>
        <w:numId w:val="3"/>
      </w:numPr>
    </w:pPr>
  </w:style>
  <w:style w:type="paragraph" w:styleId="ListNumber4">
    <w:name w:val="List Number 4"/>
    <w:basedOn w:val="List4"/>
    <w:rsid w:val="005459C6"/>
    <w:pPr>
      <w:numPr>
        <w:numId w:val="4"/>
      </w:numPr>
    </w:pPr>
  </w:style>
  <w:style w:type="paragraph" w:styleId="ListNumber5">
    <w:name w:val="List Number 5"/>
    <w:basedOn w:val="List5"/>
    <w:rsid w:val="005459C6"/>
    <w:pPr>
      <w:numPr>
        <w:numId w:val="5"/>
      </w:numPr>
    </w:pPr>
  </w:style>
  <w:style w:type="paragraph" w:styleId="BlockText">
    <w:name w:val="Block Text"/>
    <w:basedOn w:val="Normal"/>
    <w:rsid w:val="005459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9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9C6"/>
    <w:rPr>
      <w:sz w:val="16"/>
      <w:vertAlign w:val="superscript"/>
    </w:rPr>
  </w:style>
  <w:style w:type="character" w:customStyle="1" w:styleId="Symbols">
    <w:name w:val="Symbols"/>
    <w:basedOn w:val="DefaultParagraphFont"/>
    <w:rsid w:val="005459C6"/>
    <w:rPr>
      <w:rFonts w:ascii="Symbol" w:hAnsi="Symbol"/>
    </w:rPr>
  </w:style>
  <w:style w:type="character" w:customStyle="1" w:styleId="MenuOptions">
    <w:name w:val="Menu Options"/>
    <w:basedOn w:val="DefaultParagraphFont"/>
    <w:rsid w:val="005459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9C6"/>
    <w:rPr>
      <w:b/>
    </w:rPr>
  </w:style>
  <w:style w:type="character" w:customStyle="1" w:styleId="Underlined">
    <w:name w:val="Underlined"/>
    <w:basedOn w:val="DefaultParagraphFont"/>
    <w:rsid w:val="005459C6"/>
    <w:rPr>
      <w:u w:val="single"/>
    </w:rPr>
  </w:style>
  <w:style w:type="paragraph" w:customStyle="1" w:styleId="TableBodyTextRight">
    <w:name w:val="Table Body Text Right"/>
    <w:basedOn w:val="TableBodyText"/>
    <w:rsid w:val="005459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9C6"/>
    <w:rPr>
      <w:sz w:val="18"/>
    </w:rPr>
  </w:style>
  <w:style w:type="paragraph" w:customStyle="1" w:styleId="BodySmallRight">
    <w:name w:val="Body Small Right"/>
    <w:basedOn w:val="BodyTextRight"/>
    <w:rsid w:val="005459C6"/>
    <w:rPr>
      <w:sz w:val="18"/>
      <w:szCs w:val="18"/>
    </w:rPr>
  </w:style>
  <w:style w:type="paragraph" w:customStyle="1" w:styleId="MarginEdition">
    <w:name w:val="Margin Edition"/>
    <w:basedOn w:val="MarginNote"/>
    <w:rsid w:val="005459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9C6"/>
    <w:rPr>
      <w:sz w:val="2"/>
      <w:szCs w:val="2"/>
    </w:rPr>
  </w:style>
  <w:style w:type="character" w:customStyle="1" w:styleId="Small">
    <w:name w:val="Small"/>
    <w:basedOn w:val="DefaultParagraphFont"/>
    <w:rsid w:val="005459C6"/>
    <w:rPr>
      <w:sz w:val="16"/>
    </w:rPr>
  </w:style>
  <w:style w:type="paragraph" w:customStyle="1" w:styleId="WideTable">
    <w:name w:val="Wide Table"/>
    <w:basedOn w:val="Normal"/>
    <w:rsid w:val="005459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9C6"/>
  </w:style>
  <w:style w:type="paragraph" w:styleId="Quote">
    <w:name w:val="Quote"/>
    <w:basedOn w:val="Heading1"/>
    <w:link w:val="QuoteChar"/>
    <w:qFormat/>
    <w:rsid w:val="005459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9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9C6"/>
    <w:pPr>
      <w:pageBreakBefore/>
    </w:pPr>
  </w:style>
  <w:style w:type="paragraph" w:customStyle="1" w:styleId="Border">
    <w:name w:val="Border"/>
    <w:basedOn w:val="Normal"/>
    <w:qFormat/>
    <w:rsid w:val="005459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9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9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9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9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9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9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9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9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9C6"/>
    <w:rPr>
      <w:u w:val="single"/>
    </w:rPr>
  </w:style>
  <w:style w:type="character" w:customStyle="1" w:styleId="BoldandItalics">
    <w:name w:val="Bold and Italics"/>
    <w:qFormat/>
    <w:rsid w:val="005459C6"/>
    <w:rPr>
      <w:b/>
      <w:i/>
      <w:u w:val="none"/>
    </w:rPr>
  </w:style>
  <w:style w:type="paragraph" w:styleId="BalloonText">
    <w:name w:val="Balloon Text"/>
    <w:basedOn w:val="Normal"/>
    <w:link w:val="BalloonTextChar"/>
    <w:rsid w:val="005459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9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9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9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9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9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9C6"/>
    <w:pPr>
      <w:spacing w:before="0" w:after="0"/>
    </w:pPr>
  </w:style>
  <w:style w:type="paragraph" w:customStyle="1" w:styleId="BodyTextBold">
    <w:name w:val="Body Text Bold"/>
    <w:basedOn w:val="BodyText"/>
    <w:qFormat/>
    <w:rsid w:val="005459C6"/>
    <w:rPr>
      <w:b/>
    </w:rPr>
  </w:style>
  <w:style w:type="character" w:styleId="Hyperlink">
    <w:name w:val="Hyperlink"/>
    <w:basedOn w:val="DefaultParagraphFont"/>
    <w:uiPriority w:val="99"/>
    <w:unhideWhenUsed/>
    <w:rsid w:val="002A7E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4303</Characters>
  <Application>Microsoft Office Word</Application>
  <DocSecurity>0</DocSecurity>
  <Lines>179</Lines>
  <Paragraphs>99</Paragraphs>
  <ScaleCrop>false</ScaleCrop>
  <Company>Author-it Software Corporation Ltd.</Company>
  <LinksUpToDate>false</LinksUpToDate>
  <CharactersWithSpaces>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TLIC3052 Assist with shunting, coupling and uncoupling electric passenger trains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2020-10-27T05:15:00Z</dcterms:created>
  <dcterms:modified xsi:type="dcterms:W3CDTF">2020-10-27T05:15:00Z</dcterms:modified>
</cp:coreProperties>
</file>