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E5D" w:rsidP="00817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TLIC3036 Apply safe car driving behaviours</w:t>
      </w:r>
      <w:r>
        <w:fldChar w:fldCharType="end"/>
      </w:r>
    </w:p>
    <w:p w:rsidR="00817E5D" w:rsidP="00817E5D">
      <w:pPr>
        <w:pStyle w:val="Version"/>
        <w:sectPr w:rsidSect="00AE6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6760" w:rsidP="00AE6760">
      <w:pPr>
        <w:pStyle w:val="SuperHeading"/>
      </w:pPr>
      <w:r w:rsidRPr="00AE6760">
        <w:t>TLIC3036 Apply safe car driving behaviours</w:t>
      </w:r>
    </w:p>
    <w:p w:rsidR="00000000" w:rsidRPr="00AE6760" w:rsidP="00AE6760">
      <w:pPr>
        <w:pStyle w:val="Heading1"/>
      </w:pPr>
      <w:bookmarkStart w:id="1" w:name="O_1066747"/>
      <w:bookmarkEnd w:id="1"/>
      <w:r w:rsidRPr="00AE67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 xml:space="preserve">Release 2. </w:t>
            </w:r>
            <w:r w:rsidRPr="00AE6760">
              <w:t>This is the second release of this unit of competency in the TLI Transport and Logistics Training Package:</w:t>
            </w:r>
          </w:p>
          <w:p w:rsidR="00000000" w:rsidP="00AE6760">
            <w:pPr>
              <w:pStyle w:val="ListBullet"/>
              <w:rPr>
                <w:lang w:val="en-NZ"/>
              </w:rPr>
            </w:pPr>
            <w:r w:rsidRPr="00AE6760">
              <w:t>Minor statement changes in Assessment Conditions.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 xml:space="preserve">Release 1. </w:t>
            </w:r>
            <w:r w:rsidRPr="00AE6760">
              <w:t>This is the first release of this unit of competency i</w:t>
            </w:r>
            <w:r w:rsidRPr="00AE6760">
              <w:t>n the TLI Transport and Logistics Training Package.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2" w:name="O_1066746"/>
      <w:bookmarkEnd w:id="2"/>
      <w:r w:rsidRPr="00AE67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This unit involves the skills and knowledge required for higher-order safe driving. This unit applies to light vehicle safe driving behaviours.</w:t>
            </w:r>
          </w:p>
          <w:p w:rsidR="00000000" w:rsidRPr="00AE6760" w:rsidP="00AE6760">
            <w:pPr>
              <w:pStyle w:val="BodyText"/>
            </w:pPr>
            <w:r w:rsidRPr="00AE6760">
              <w:t xml:space="preserve">This includes higher-order </w:t>
            </w:r>
            <w:r w:rsidRPr="00AE6760">
              <w:t>skills involving broad cognitive, technical, communication and vehicle management. It also requires knowledge about hazard perception, risk control and safe driving behaviour, judgement, decision making and multi-tasking that builds on driver licence requi</w:t>
            </w:r>
            <w:r w:rsidRPr="00AE6760">
              <w:t>rements across a range of vehicles and driving situations.</w:t>
            </w:r>
          </w:p>
          <w:p w:rsidR="00000000" w:rsidRPr="00AE6760" w:rsidP="00AE6760">
            <w:pPr>
              <w:pStyle w:val="BodyText"/>
            </w:pPr>
            <w:r w:rsidRPr="00AE6760">
              <w:t>Safe light vehicle driving behaviours are applied without supervision.</w:t>
            </w:r>
          </w:p>
          <w:p w:rsidR="00000000" w:rsidRPr="00AE6760" w:rsidP="00AE6760">
            <w:pPr>
              <w:pStyle w:val="BodyText"/>
            </w:pPr>
            <w:r w:rsidRPr="00AE6760">
              <w:t>No licensing, legislative or certification requirements apply to this unit at the time of publication.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3" w:name="O_1066745"/>
      <w:bookmarkEnd w:id="3"/>
      <w:r w:rsidRPr="00AE67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Not applicable.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4" w:name="O_1066744"/>
      <w:bookmarkEnd w:id="4"/>
      <w:r w:rsidRPr="00AE67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C – Vehicle Operation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5" w:name="O_1066743"/>
      <w:bookmarkEnd w:id="5"/>
      <w:r w:rsidRPr="00AE67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Not applicable.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6" w:name="O_1066742"/>
      <w:bookmarkEnd w:id="6"/>
      <w:r w:rsidRPr="00AE67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PERFORMANCE CRITERIA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Performance criteria describe the performance needed to demonstrate achievement of the element.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Apply relevant legislation applicable to safe light vehicle driving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Current road rules and regulations are i</w:t>
            </w:r>
            <w:r w:rsidRPr="00AE6760">
              <w:t>dentified, interpreted and applied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Road signs, signals and markings are identified and complied with in safe light vehicle driving activities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Purpose of road rules and traffic safety laws in ensuring safe and efficient regulation of traffic flow is interpreted and applied when driving a vehicle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Apply safe light vehicle</w:t>
            </w:r>
            <w:r w:rsidRPr="00AE6760">
              <w:t xml:space="preserve"> </w:t>
            </w:r>
            <w:r w:rsidRPr="00AE6760">
              <w:rPr>
                <w:rStyle w:val="SpecialBold"/>
              </w:rPr>
              <w:t>driving behaviours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Requirements for safe light vehicle driving are app</w:t>
            </w:r>
            <w:r w:rsidRPr="00AE6760">
              <w:t>lied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Importance of attitude in complying with road rules in relation to level of risk faced by a driver is applied when driving a light vehicle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Importance of road sharing principles are applied when driving a light vehicle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Importance of motivation to drive safely is interpreted and explained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Principles of proactive driving methods that maintain one’s driving at a low risk are identified and applied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Contributing risk factors to potential crash risks are identifi</w:t>
            </w:r>
            <w:r w:rsidRPr="00AE6760">
              <w:t>ed and taken into consideration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Apply low-risk driving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Contributing risk factors to forming opinions and beliefs about low-risk driving are applied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Human factors that can influence low-risk driving behaviour are outlined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Low-risk driving strategies are applied and their rationale explained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Explain risk factors that contribute to accidents when driving a light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Contributing risk factors to accidents are recognised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External factors that could lead to acc</w:t>
            </w:r>
            <w:r w:rsidRPr="00AE6760">
              <w:t>idents are outlined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Internal factors that could lead to accidents are outlined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 xml:space="preserve">Consequences of accidents in relation to relevant traffic laws and physical, financial and psychological costs to </w:t>
            </w:r>
            <w:r w:rsidRPr="00AE6760">
              <w:t>the individual and society are explained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Functions of vehicle operations and controls and how to recover control of a vehicle are explained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rPr>
                <w:rStyle w:val="SpecialBold"/>
              </w:rPr>
              <w:t>Apply operation and light vehicle control skills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Appropriate actions are taken to respond to hazardous situations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Principles of braking are app</w:t>
            </w:r>
            <w:r w:rsidRPr="00AE6760">
              <w:t>lied to a high level of technical competence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Principles of steering are applied to a high level of technical competence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t>Slow speed manoeuvres are carried out to a high level of technical competence</w:t>
            </w:r>
          </w:p>
        </w:tc>
      </w:tr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60">
            <w:pPr>
              <w:pStyle w:val="BodyText"/>
              <w:rPr>
                <w:lang w:val="en-NZ"/>
              </w:rPr>
            </w:pPr>
            <w:r w:rsidRPr="00AE676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V</w:t>
            </w:r>
            <w:r w:rsidRPr="00AE6760">
              <w:t>ehicle is operated and controlled to a high level of technical competence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7" w:name="O_1066741"/>
      <w:bookmarkEnd w:id="7"/>
      <w:r w:rsidRPr="00AE67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Foundation skills essential to performance are explicit in the performance criteria of this unit of competency.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8" w:name="O_1066740"/>
      <w:bookmarkEnd w:id="8"/>
      <w:r w:rsidRPr="00AE67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Range is restricted to essential operating conditions and any other variables essential to the work environment.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9" w:name="O_1066739"/>
      <w:bookmarkEnd w:id="9"/>
      <w:r w:rsidRPr="00AE67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60" w:rsidP="00AE6760">
            <w:pPr>
              <w:pStyle w:val="BodyText"/>
            </w:pPr>
            <w:r w:rsidRPr="00AE6760">
              <w:t>This unit replaces and is equivalent to TLIC3036A Apply safe car driving beha</w:t>
            </w:r>
            <w:r w:rsidRPr="00AE6760">
              <w:t>viours.</w:t>
            </w:r>
          </w:p>
        </w:tc>
      </w:tr>
    </w:tbl>
    <w:p w:rsidR="00000000" w:rsidRPr="00AE6760" w:rsidP="00AE6760">
      <w:pPr>
        <w:pStyle w:val="NoPaddingFontSize1"/>
      </w:pPr>
    </w:p>
    <w:p w:rsidR="00000000" w:rsidRPr="00AE6760" w:rsidP="00AE6760">
      <w:pPr>
        <w:pStyle w:val="AllowPageBreak"/>
      </w:pPr>
    </w:p>
    <w:p w:rsidR="00000000" w:rsidRPr="00AE6760" w:rsidP="00AE6760">
      <w:pPr>
        <w:pStyle w:val="Heading1"/>
      </w:pPr>
      <w:bookmarkStart w:id="10" w:name="O_1066748"/>
      <w:bookmarkEnd w:id="10"/>
      <w:r w:rsidRPr="00AE6760">
        <w:t>Links</w:t>
      </w:r>
    </w:p>
    <w:p w:rsidR="00000000" w:rsidRPr="00AE6760" w:rsidP="00817E5D">
      <w:pPr>
        <w:pStyle w:val="BodyText"/>
      </w:pPr>
      <w:r w:rsidRPr="00AE6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836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E6760" w:rsidP="00AE6760"/>
    <w:sectPr w:rsidSect="00AE6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60" w:rsidRPr="00817E5D" w:rsidP="00817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5D" w:rsidP="00AE6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E5D" w:rsidP="00AE6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7E5D" w:rsidP="00AE6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760" w:rsidRPr="00817E5D" w:rsidP="00817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5D" w:rsidRPr="002D2AF8" w:rsidP="00AE6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TLIC3036 Apply safe car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17E5D" w:rsidP="00AE6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64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EC9C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760"/>
  </w:style>
  <w:style w:type="character" w:customStyle="1" w:styleId="Heading1Char">
    <w:name w:val="Heading 1 Char"/>
    <w:basedOn w:val="DefaultParagraphFont"/>
    <w:link w:val="Heading1"/>
    <w:rsid w:val="00AE6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7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760"/>
    <w:rPr>
      <w:b/>
      <w:spacing w:val="0"/>
    </w:rPr>
  </w:style>
  <w:style w:type="paragraph" w:customStyle="1" w:styleId="SuperHeading">
    <w:name w:val="SuperHeading"/>
    <w:basedOn w:val="Normal"/>
    <w:rsid w:val="00AE6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6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760"/>
    <w:rPr>
      <w:i/>
    </w:rPr>
  </w:style>
  <w:style w:type="paragraph" w:styleId="Caption">
    <w:name w:val="caption"/>
    <w:basedOn w:val="BodyText"/>
    <w:next w:val="Normal"/>
    <w:qFormat/>
    <w:rsid w:val="00AE6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760"/>
  </w:style>
  <w:style w:type="paragraph" w:styleId="TableofFigures">
    <w:name w:val="table of figures"/>
    <w:basedOn w:val="Normal"/>
    <w:next w:val="Normal"/>
    <w:semiHidden/>
    <w:rsid w:val="00AE6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7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760"/>
    <w:rPr>
      <w:rFonts w:ascii="Wingdings" w:hAnsi="Wingdings"/>
    </w:rPr>
  </w:style>
  <w:style w:type="paragraph" w:customStyle="1" w:styleId="TableHeading">
    <w:name w:val="Table Heading"/>
    <w:basedOn w:val="HeadingBase"/>
    <w:rsid w:val="00AE6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760"/>
    <w:rPr>
      <w:color w:val="0033CC"/>
      <w:u w:val="none"/>
    </w:rPr>
  </w:style>
  <w:style w:type="paragraph" w:customStyle="1" w:styleId="BodyTextRight">
    <w:name w:val="Body Text Right"/>
    <w:basedOn w:val="BodyText"/>
    <w:rsid w:val="00AE6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760"/>
    <w:rPr>
      <w:sz w:val="32"/>
    </w:rPr>
  </w:style>
  <w:style w:type="paragraph" w:customStyle="1" w:styleId="HeadingProcedure">
    <w:name w:val="Heading Procedure"/>
    <w:basedOn w:val="HeadingBase"/>
    <w:next w:val="Normal"/>
    <w:rsid w:val="00AE6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760"/>
    <w:pPr>
      <w:spacing w:before="60" w:after="60"/>
    </w:pPr>
  </w:style>
  <w:style w:type="paragraph" w:styleId="ListContinue">
    <w:name w:val="List Continue"/>
    <w:basedOn w:val="List"/>
    <w:rsid w:val="00AE6760"/>
    <w:pPr>
      <w:ind w:firstLine="0"/>
    </w:pPr>
  </w:style>
  <w:style w:type="paragraph" w:customStyle="1" w:styleId="ListNote">
    <w:name w:val="List Note"/>
    <w:basedOn w:val="List"/>
    <w:rsid w:val="00AE6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760"/>
    <w:rPr>
      <w:rFonts w:ascii="Courier New" w:hAnsi="Courier New"/>
    </w:rPr>
  </w:style>
  <w:style w:type="paragraph" w:customStyle="1" w:styleId="NoteBullet">
    <w:name w:val="Note Bullet"/>
    <w:basedOn w:val="Note"/>
    <w:rsid w:val="00AE6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760"/>
    <w:rPr>
      <w:b/>
      <w:smallCaps/>
    </w:rPr>
  </w:style>
  <w:style w:type="paragraph" w:customStyle="1" w:styleId="TableListNumber">
    <w:name w:val="Table List Number"/>
    <w:basedOn w:val="ListNumber"/>
    <w:rsid w:val="00AE6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760"/>
    <w:pPr>
      <w:numPr>
        <w:numId w:val="8"/>
      </w:numPr>
    </w:pPr>
  </w:style>
  <w:style w:type="paragraph" w:customStyle="1" w:styleId="ListAlpha2">
    <w:name w:val="List Alpha 2"/>
    <w:basedOn w:val="List2"/>
    <w:rsid w:val="00AE6760"/>
    <w:pPr>
      <w:numPr>
        <w:numId w:val="7"/>
      </w:numPr>
    </w:pPr>
  </w:style>
  <w:style w:type="paragraph" w:styleId="List2">
    <w:name w:val="List 2"/>
    <w:basedOn w:val="BodyText"/>
    <w:rsid w:val="00AE6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760"/>
    <w:pPr>
      <w:numPr>
        <w:numId w:val="3"/>
      </w:numPr>
    </w:pPr>
  </w:style>
  <w:style w:type="paragraph" w:styleId="ListContinue2">
    <w:name w:val="List Continue 2"/>
    <w:basedOn w:val="List2"/>
    <w:rsid w:val="00AE6760"/>
    <w:pPr>
      <w:ind w:firstLine="0"/>
    </w:pPr>
  </w:style>
  <w:style w:type="paragraph" w:styleId="ListContinue3">
    <w:name w:val="List Continue 3"/>
    <w:basedOn w:val="List3"/>
    <w:rsid w:val="00AE6760"/>
    <w:pPr>
      <w:ind w:left="1021" w:firstLine="0"/>
    </w:pPr>
  </w:style>
  <w:style w:type="paragraph" w:styleId="ListContinue4">
    <w:name w:val="List Continue 4"/>
    <w:basedOn w:val="List4"/>
    <w:rsid w:val="00AE6760"/>
    <w:pPr>
      <w:ind w:firstLine="0"/>
    </w:pPr>
  </w:style>
  <w:style w:type="paragraph" w:styleId="ListContinue5">
    <w:name w:val="List Continue 5"/>
    <w:basedOn w:val="List5"/>
    <w:rsid w:val="00AE6760"/>
    <w:pPr>
      <w:ind w:firstLine="0"/>
    </w:pPr>
  </w:style>
  <w:style w:type="paragraph" w:styleId="ListNumber3">
    <w:name w:val="List Number 3"/>
    <w:basedOn w:val="List3"/>
    <w:rsid w:val="00AE6760"/>
    <w:pPr>
      <w:numPr>
        <w:numId w:val="4"/>
      </w:numPr>
    </w:pPr>
  </w:style>
  <w:style w:type="paragraph" w:styleId="ListNumber4">
    <w:name w:val="List Number 4"/>
    <w:basedOn w:val="List4"/>
    <w:rsid w:val="00AE6760"/>
    <w:pPr>
      <w:numPr>
        <w:numId w:val="5"/>
      </w:numPr>
    </w:pPr>
  </w:style>
  <w:style w:type="paragraph" w:styleId="ListNumber5">
    <w:name w:val="List Number 5"/>
    <w:basedOn w:val="List5"/>
    <w:rsid w:val="00AE6760"/>
    <w:pPr>
      <w:numPr>
        <w:numId w:val="6"/>
      </w:numPr>
    </w:pPr>
  </w:style>
  <w:style w:type="paragraph" w:styleId="BlockText">
    <w:name w:val="Block Text"/>
    <w:basedOn w:val="Normal"/>
    <w:rsid w:val="00AE6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760"/>
    <w:rPr>
      <w:sz w:val="16"/>
      <w:vertAlign w:val="superscript"/>
    </w:rPr>
  </w:style>
  <w:style w:type="character" w:customStyle="1" w:styleId="Symbols">
    <w:name w:val="Symbols"/>
    <w:basedOn w:val="DefaultParagraphFont"/>
    <w:rsid w:val="00AE6760"/>
    <w:rPr>
      <w:rFonts w:ascii="Symbol" w:hAnsi="Symbol"/>
    </w:rPr>
  </w:style>
  <w:style w:type="character" w:customStyle="1" w:styleId="MenuOptions">
    <w:name w:val="Menu Options"/>
    <w:basedOn w:val="DefaultParagraphFont"/>
    <w:rsid w:val="00AE6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760"/>
    <w:rPr>
      <w:b/>
    </w:rPr>
  </w:style>
  <w:style w:type="character" w:customStyle="1" w:styleId="Underlined">
    <w:name w:val="Underlined"/>
    <w:basedOn w:val="DefaultParagraphFont"/>
    <w:rsid w:val="00AE6760"/>
    <w:rPr>
      <w:u w:val="single"/>
    </w:rPr>
  </w:style>
  <w:style w:type="paragraph" w:customStyle="1" w:styleId="TableBodyTextRight">
    <w:name w:val="Table Body Text Right"/>
    <w:basedOn w:val="TableBodyText"/>
    <w:rsid w:val="00AE6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760"/>
    <w:rPr>
      <w:sz w:val="18"/>
    </w:rPr>
  </w:style>
  <w:style w:type="paragraph" w:customStyle="1" w:styleId="BodySmallRight">
    <w:name w:val="Body Small Right"/>
    <w:basedOn w:val="BodyTextRight"/>
    <w:rsid w:val="00AE6760"/>
    <w:rPr>
      <w:sz w:val="18"/>
      <w:szCs w:val="18"/>
    </w:rPr>
  </w:style>
  <w:style w:type="paragraph" w:customStyle="1" w:styleId="MarginEdition">
    <w:name w:val="Margin Edition"/>
    <w:basedOn w:val="MarginNote"/>
    <w:rsid w:val="00AE6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760"/>
    <w:rPr>
      <w:sz w:val="2"/>
      <w:szCs w:val="2"/>
    </w:rPr>
  </w:style>
  <w:style w:type="character" w:customStyle="1" w:styleId="Small">
    <w:name w:val="Small"/>
    <w:basedOn w:val="DefaultParagraphFont"/>
    <w:rsid w:val="00AE6760"/>
    <w:rPr>
      <w:sz w:val="16"/>
    </w:rPr>
  </w:style>
  <w:style w:type="paragraph" w:customStyle="1" w:styleId="WideTable">
    <w:name w:val="Wide Table"/>
    <w:basedOn w:val="Normal"/>
    <w:rsid w:val="00AE6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760"/>
  </w:style>
  <w:style w:type="paragraph" w:styleId="Quote">
    <w:name w:val="Quote"/>
    <w:basedOn w:val="Heading1"/>
    <w:link w:val="QuoteChar"/>
    <w:qFormat/>
    <w:rsid w:val="00AE6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760"/>
    <w:pPr>
      <w:pageBreakBefore/>
    </w:pPr>
  </w:style>
  <w:style w:type="paragraph" w:customStyle="1" w:styleId="Border">
    <w:name w:val="Border"/>
    <w:basedOn w:val="Normal"/>
    <w:qFormat/>
    <w:rsid w:val="00AE6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760"/>
    <w:rPr>
      <w:u w:val="single"/>
    </w:rPr>
  </w:style>
  <w:style w:type="character" w:customStyle="1" w:styleId="BoldandItalics">
    <w:name w:val="Bold and Italics"/>
    <w:qFormat/>
    <w:rsid w:val="00AE6760"/>
    <w:rPr>
      <w:b/>
      <w:i/>
      <w:u w:val="none"/>
    </w:rPr>
  </w:style>
  <w:style w:type="paragraph" w:styleId="BalloonText">
    <w:name w:val="Balloon Text"/>
    <w:basedOn w:val="Normal"/>
    <w:link w:val="BalloonTextChar"/>
    <w:rsid w:val="00AE6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760"/>
    <w:pPr>
      <w:spacing w:before="0" w:after="0"/>
    </w:pPr>
  </w:style>
  <w:style w:type="paragraph" w:customStyle="1" w:styleId="BodyTextBold">
    <w:name w:val="Body Text Bold"/>
    <w:basedOn w:val="BodyText"/>
    <w:qFormat/>
    <w:rsid w:val="00AE6760"/>
    <w:rPr>
      <w:b/>
    </w:rPr>
  </w:style>
  <w:style w:type="character" w:styleId="Hyperlink">
    <w:name w:val="Hyperlink"/>
    <w:basedOn w:val="DefaultParagraphFont"/>
    <w:uiPriority w:val="99"/>
    <w:unhideWhenUsed/>
    <w:rsid w:val="00817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3802</Characters>
  <Application>Microsoft Office Word</Application>
  <DocSecurity>0</DocSecurity>
  <Lines>190</Lines>
  <Paragraphs>103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TLIC3036 Apply safe car driving behaviours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