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BDD" w:rsidP="007E7BDD">
      <w:pPr>
        <w:pStyle w:val="Title"/>
      </w:pPr>
      <w:r>
        <w:fldChar w:fldCharType="begin"/>
      </w:r>
      <w:r>
        <w:instrText xml:space="preserve"> TITLE   \* MERGEFORMAT </w:instrText>
      </w:r>
      <w:r>
        <w:fldChar w:fldCharType="separate"/>
      </w:r>
      <w:r>
        <w:t>TLIC3028 Operate and monitor a heritage motive power unit</w:t>
      </w:r>
      <w:r>
        <w:fldChar w:fldCharType="end"/>
      </w:r>
    </w:p>
    <w:p w:rsidR="007E7BDD" w:rsidP="007E7BDD">
      <w:pPr>
        <w:pStyle w:val="Version"/>
        <w:sectPr w:rsidSect="000E4D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4DA2" w:rsidP="000E4DA2">
      <w:pPr>
        <w:pStyle w:val="SuperHeading"/>
      </w:pPr>
      <w:r w:rsidRPr="000E4DA2">
        <w:t>TLIC3028 Operate and monitor a heritage motive power unit</w:t>
      </w:r>
    </w:p>
    <w:p w:rsidR="00000000" w:rsidRPr="000E4DA2" w:rsidP="000E4DA2">
      <w:pPr>
        <w:pStyle w:val="Heading1"/>
      </w:pPr>
      <w:bookmarkStart w:id="1" w:name="O_1196478"/>
      <w:bookmarkEnd w:id="1"/>
      <w:r w:rsidRPr="000E4DA2">
        <w:t>Modification History</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Release 2</w:t>
            </w:r>
            <w:r w:rsidRPr="000E4DA2">
              <w:t>. This is the second release of this unit of competency in the TLI Transport and Logistics Training Package:</w:t>
            </w:r>
          </w:p>
          <w:p w:rsidR="00000000" w:rsidRPr="000E4DA2" w:rsidP="000E4DA2">
            <w:pPr>
              <w:pStyle w:val="ListBullet"/>
            </w:pPr>
            <w:r w:rsidRPr="000E4DA2">
              <w:t>Minor statement changes in Knowledge Evidence</w:t>
            </w:r>
          </w:p>
          <w:p w:rsidR="00000000" w:rsidP="000E4DA2">
            <w:pPr>
              <w:pStyle w:val="ListBullet"/>
              <w:rPr>
                <w:lang w:val="en-NZ"/>
              </w:rPr>
            </w:pPr>
            <w:r w:rsidRPr="000E4DA2">
              <w:t>Minor statement changes in Assessment Conditions.</w:t>
            </w:r>
          </w:p>
        </w:tc>
      </w:tr>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R</w:t>
            </w:r>
            <w:r w:rsidRPr="000E4DA2">
              <w:rPr>
                <w:rStyle w:val="SpecialBold"/>
              </w:rPr>
              <w:t>elease 1</w:t>
            </w:r>
            <w:r w:rsidRPr="000E4DA2">
              <w:t>. This is the first release of this unit of competency in the TLI Transport and Logistics Training Package.</w:t>
            </w:r>
          </w:p>
        </w:tc>
      </w:tr>
    </w:tbl>
    <w:p w:rsidR="007E7BDD" w:rsidP="000E4DA2">
      <w:pPr>
        <w:pStyle w:val="NoPaddingFontSize1"/>
      </w:pPr>
    </w:p>
    <w:p w:rsidR="007E7BDD" w:rsidP="000E4DA2">
      <w:pPr>
        <w:pStyle w:val="NoPaddingFontSize1"/>
      </w:pPr>
    </w:p>
    <w:p w:rsidR="00000000" w:rsidRPr="000E4DA2" w:rsidP="000E4DA2">
      <w:pPr>
        <w:pStyle w:val="Heading1"/>
      </w:pPr>
      <w:bookmarkStart w:id="2" w:name="O_1196477"/>
      <w:bookmarkEnd w:id="2"/>
      <w:r w:rsidRPr="000E4DA2">
        <w:t>Application</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This unit involves the skills and knowledge required to operate and monitor a heritage motive power unit in accordance with relevant workplace procedures, rail regulations and codes of practice.</w:t>
            </w:r>
          </w:p>
          <w:p w:rsidR="00000000" w:rsidRPr="000E4DA2" w:rsidP="000E4DA2">
            <w:pPr>
              <w:pStyle w:val="BodyText"/>
            </w:pPr>
            <w:r w:rsidRPr="000E4DA2">
              <w:t>It includes operating the controls of a heritage motive power</w:t>
            </w:r>
            <w:r w:rsidRPr="000E4DA2">
              <w:t xml:space="preserve"> unit, monitoring its performance and maintaining its operational condition during a journey. It also includes working collaboratively with other train crew and relevant personnel. </w:t>
            </w:r>
          </w:p>
          <w:p w:rsidR="00000000" w:rsidRPr="000E4DA2" w:rsidP="000E4DA2">
            <w:pPr>
              <w:pStyle w:val="BodyText"/>
            </w:pPr>
            <w:r w:rsidRPr="000E4DA2">
              <w:t>People achieving competence in this unit will need to fulfil the applicabl</w:t>
            </w:r>
            <w:r w:rsidRPr="000E4DA2">
              <w:t>e state/territory legislated rail safety requirements and to comply with relevant codes of practice and/or guidelines.</w:t>
            </w:r>
          </w:p>
          <w:p w:rsidR="00000000" w:rsidRPr="000E4DA2" w:rsidP="000E4DA2">
            <w:pPr>
              <w:pStyle w:val="BodyText"/>
            </w:pPr>
            <w:r w:rsidRPr="000E4DA2">
              <w:t>Work is performed under minimal supervision, generally within a team environment. It involves the application of routine operational prin</w:t>
            </w:r>
            <w:r w:rsidRPr="000E4DA2">
              <w:t>ciples and procedures when maintaining the safety and operation of a heritage motive power unit across a variety of operational contexts in the Australian heritage rail system.</w:t>
            </w:r>
          </w:p>
          <w:p w:rsidR="00000000" w:rsidRPr="000E4DA2" w:rsidP="000E4DA2">
            <w:pPr>
              <w:pStyle w:val="BodyText"/>
            </w:pPr>
            <w:r w:rsidRPr="000E4DA2">
              <w:t>No licensing, legislative or certification requirements apply to this unit at t</w:t>
            </w:r>
            <w:r w:rsidRPr="000E4DA2">
              <w:t>he time of publication.</w:t>
            </w:r>
          </w:p>
        </w:tc>
      </w:tr>
    </w:tbl>
    <w:p w:rsidR="007E7BDD" w:rsidP="000E4DA2">
      <w:pPr>
        <w:pStyle w:val="NoPaddingFontSize1"/>
      </w:pPr>
    </w:p>
    <w:p w:rsidR="007E7BDD" w:rsidP="000E4DA2">
      <w:pPr>
        <w:pStyle w:val="NoPaddingFontSize1"/>
      </w:pPr>
    </w:p>
    <w:p w:rsidR="00000000" w:rsidRPr="000E4DA2" w:rsidP="000E4DA2">
      <w:pPr>
        <w:pStyle w:val="Heading1"/>
      </w:pPr>
      <w:bookmarkStart w:id="3" w:name="O_1196476"/>
      <w:bookmarkEnd w:id="3"/>
      <w:r w:rsidRPr="000E4DA2">
        <w:t>Pre-requisite Unit</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Not applicable.</w:t>
            </w:r>
          </w:p>
        </w:tc>
      </w:tr>
    </w:tbl>
    <w:p w:rsidR="007E7BDD" w:rsidP="000E4DA2">
      <w:pPr>
        <w:pStyle w:val="NoPaddingFontSize1"/>
      </w:pPr>
    </w:p>
    <w:p w:rsidR="007E7BDD" w:rsidP="000E4DA2">
      <w:pPr>
        <w:pStyle w:val="NoPaddingFontSize1"/>
      </w:pPr>
    </w:p>
    <w:p w:rsidR="00000000" w:rsidRPr="000E4DA2" w:rsidP="000E4DA2">
      <w:pPr>
        <w:pStyle w:val="Heading1"/>
      </w:pPr>
      <w:bookmarkStart w:id="4" w:name="O_1196475"/>
      <w:bookmarkEnd w:id="4"/>
      <w:r w:rsidRPr="000E4DA2">
        <w:t>Competency Field</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C – Vehicle Operation</w:t>
            </w:r>
          </w:p>
        </w:tc>
      </w:tr>
    </w:tbl>
    <w:p w:rsidR="007E7BDD" w:rsidP="000E4DA2">
      <w:pPr>
        <w:pStyle w:val="NoPaddingFontSize1"/>
      </w:pPr>
    </w:p>
    <w:p w:rsidR="007E7BDD" w:rsidP="000E4DA2">
      <w:pPr>
        <w:pStyle w:val="NoPaddingFontSize1"/>
      </w:pPr>
    </w:p>
    <w:p w:rsidR="00000000" w:rsidRPr="000E4DA2" w:rsidP="000E4DA2">
      <w:pPr>
        <w:pStyle w:val="Heading1"/>
      </w:pPr>
      <w:bookmarkStart w:id="5" w:name="O_1196474"/>
      <w:bookmarkEnd w:id="5"/>
      <w:r w:rsidRPr="000E4DA2">
        <w:t>Unit Sector</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Rail sector.</w:t>
            </w:r>
          </w:p>
        </w:tc>
      </w:tr>
    </w:tbl>
    <w:p w:rsidR="007E7BDD" w:rsidP="000E4DA2">
      <w:pPr>
        <w:pStyle w:val="NoPaddingFontSize1"/>
      </w:pPr>
    </w:p>
    <w:p w:rsidR="007E7BDD" w:rsidP="000E4DA2">
      <w:pPr>
        <w:pStyle w:val="NoPaddingFontSize1"/>
      </w:pPr>
    </w:p>
    <w:p w:rsidR="00000000" w:rsidRPr="000E4DA2" w:rsidP="000E4DA2">
      <w:pPr>
        <w:pStyle w:val="Heading1"/>
      </w:pPr>
      <w:bookmarkStart w:id="6" w:name="O_1196473"/>
      <w:bookmarkEnd w:id="6"/>
      <w:r w:rsidRPr="000E4DA2">
        <w:t>Elements and Performance Criteria</w:t>
      </w:r>
    </w:p>
    <w:tbl>
      <w:tblPr>
        <w:tblW w:w="0" w:type="auto"/>
        <w:tblCellMar>
          <w:left w:w="62" w:type="dxa"/>
          <w:right w:w="62" w:type="dxa"/>
        </w:tblCellMar>
        <w:tblLook w:val="0000"/>
      </w:tblPr>
      <w:tblGrid>
        <w:gridCol w:w="337"/>
        <w:gridCol w:w="2025"/>
        <w:gridCol w:w="588"/>
        <w:gridCol w:w="6246"/>
      </w:tblGrid>
      <w:tr w:rsidTr="007E7BD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PERFORMANCE CRITERIA</w:t>
            </w:r>
          </w:p>
        </w:tc>
      </w:tr>
      <w:tr w:rsidTr="007E7BD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Performance criteria describe the performance needed to demonstrate achievement of the element.</w:t>
            </w:r>
          </w:p>
        </w:tc>
      </w:tr>
      <w:tr w:rsidTr="007E7BD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Operate heritage motive power unit</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Motive power unit handling techniques, and track and road knowledge are applied to eliminate or minimise risk of injury to personnel or damage to equipment, rolling stock and load</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 xml:space="preserve">Acceleration and braking techniques are applied safely within track, </w:t>
            </w:r>
            <w:r w:rsidRPr="000E4DA2">
              <w:t>road and weather conditions</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Heritage motive power unit and rolling stock movement between sections is monitored and vehicles are positioned safely in accordance with relevant codes of practice, system of safeworking and related requirements</w:t>
            </w:r>
          </w:p>
        </w:tc>
      </w:tr>
      <w:tr w:rsidTr="007E7BD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Operate and monitor on-board equipment</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Motive power unit equipment is monitored and operated to maintain optimum running conditions and to identify faults, defects and deficiencies</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Appropriate actions are taken in response to identified faults, defects and deficiencies to ensure safe operation of motive power unit, including communications with operations controller, as required</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Faults, defects and deficiencies are assessed to</w:t>
            </w:r>
            <w:r w:rsidRPr="000E4DA2">
              <w:t xml:space="preserve"> determine risk of damage to equipment or injury to personnel</w:t>
            </w:r>
          </w:p>
        </w:tc>
      </w:tr>
      <w:tr w:rsidTr="007E7BD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Respond effectively to external operating factors</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Instructions are verified, as required, interpreted and followed, in accordance with relevant codes of practice, rail regulatory requirements and organisational policies and procedures, to ensure actions taken are appropriate and safe</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Fixed and hand signals, and verbal movement commands are interpreted and followed, in accordance with relevant codes of practice, system of safeworking and organisational policies and procedures, to ensure actions taken are appropriate and safe</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Haza</w:t>
            </w:r>
            <w:r w:rsidRPr="000E4DA2">
              <w:t>rdous situations are recognised and interpreted, and appropriate initiatives and actions are taken to minimise risk to personnel and equipment in accordance with workplace procedures and applicable regulatory requirements</w:t>
            </w:r>
          </w:p>
        </w:tc>
      </w:tr>
      <w:tr w:rsidTr="007E7BD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 xml:space="preserve">Work collaboratively </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 xml:space="preserve">Safe </w:t>
            </w:r>
            <w:r w:rsidRPr="000E4DA2">
              <w:t xml:space="preserve">operation and monitoring of motive power unit is maintained in collaboration with other train crew, network control officers and relevant personnel in accordance with workplace requirements and </w:t>
            </w:r>
            <w:r w:rsidRPr="000E4DA2">
              <w:t>rail resource management principles</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Potential or actual conflicts or grievances with other train crew, network control officers or relevant personnel when operating a motive power unit are recognised and resolved in accordance with workplace procedures and rail resource management principles</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Regular communication is maintained with train crew, network control officers, drivers of other trains and relevant personnel when operating a motive power unit in accordance with workplace procedures and regulatory requirements</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 xml:space="preserve">Train crew, </w:t>
            </w:r>
            <w:r w:rsidRPr="000E4DA2">
              <w:t xml:space="preserve">network control officers, drivers of other trains and relevant personnel are advised of operational problems, delays, safety incidents and emergency situations </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Information provided by train crew, network control officers, drivers of other trains an</w:t>
            </w:r>
            <w:r w:rsidRPr="000E4DA2">
              <w:t>d relevant personnel about the ongoing operation of the motive power unit is interpreted and applied to driving activities in accordance with workplace procedures and applicable regulatory requirements</w:t>
            </w:r>
          </w:p>
        </w:tc>
      </w:tr>
      <w:tr w:rsidTr="007E7BDD">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Follow all applicable rail regulatory requirements</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Rail regulatory requirements applicable to operating a motive power unit, and the train and track or road concerned, are accessed, clarified as required and interpreted</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Relevant rail regulatory requirements are applied and followed when operatin</w:t>
            </w:r>
            <w:r w:rsidRPr="000E4DA2">
              <w:t>g a motive power unit</w:t>
            </w:r>
          </w:p>
        </w:tc>
      </w:tr>
      <w:tr w:rsidTr="007E7BDD">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E4DA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Rail resource management principles are applied in all rail operations involving a motive power unit in accordance with workplace procedures and applicable rail regulatory requirements</w:t>
            </w:r>
          </w:p>
        </w:tc>
      </w:tr>
    </w:tbl>
    <w:p w:rsidR="007E7BDD" w:rsidP="000E4DA2">
      <w:pPr>
        <w:pStyle w:val="NoPaddingFontSize1"/>
      </w:pPr>
    </w:p>
    <w:p w:rsidR="007E7BDD" w:rsidP="000E4DA2">
      <w:pPr>
        <w:pStyle w:val="NoPaddingFontSize1"/>
      </w:pPr>
    </w:p>
    <w:p w:rsidR="00000000" w:rsidRPr="000E4DA2" w:rsidP="000E4DA2">
      <w:pPr>
        <w:pStyle w:val="Heading1"/>
      </w:pPr>
      <w:bookmarkStart w:id="7" w:name="O_1196472"/>
      <w:bookmarkEnd w:id="7"/>
      <w:r w:rsidRPr="000E4DA2">
        <w:t>Foundation Skills</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Foundation skills essential to performance are explicit in the performance criteria of this unit of competency.</w:t>
            </w:r>
          </w:p>
        </w:tc>
      </w:tr>
    </w:tbl>
    <w:p w:rsidR="007E7BDD" w:rsidP="000E4DA2">
      <w:pPr>
        <w:pStyle w:val="NoPaddingFontSize1"/>
      </w:pPr>
    </w:p>
    <w:p w:rsidR="007E7BDD" w:rsidP="000E4DA2">
      <w:pPr>
        <w:pStyle w:val="NoPaddingFontSize1"/>
      </w:pPr>
    </w:p>
    <w:p w:rsidR="00000000" w:rsidRPr="000E4DA2" w:rsidP="000E4DA2">
      <w:pPr>
        <w:pStyle w:val="Heading1"/>
      </w:pPr>
      <w:bookmarkStart w:id="8" w:name="O_1196471"/>
      <w:bookmarkEnd w:id="8"/>
      <w:r w:rsidRPr="000E4DA2">
        <w:t>Range of Conditions</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Range is restricted to essential operating conditions and any other variables essential to the work e</w:t>
            </w:r>
            <w:r w:rsidRPr="000E4DA2">
              <w:t>nvironment.</w:t>
            </w:r>
          </w:p>
          <w:p w:rsidR="00000000" w:rsidRPr="000E4DA2" w:rsidP="000E4DA2">
            <w:pPr>
              <w:pStyle w:val="BodyText"/>
            </w:pPr>
            <w:r w:rsidRPr="000E4DA2">
              <w:t>Non-essential conditions can be found in the TLI Transport and Logistics Training Package Companion Volume Implementation Guide.</w:t>
            </w:r>
          </w:p>
        </w:tc>
      </w:tr>
    </w:tbl>
    <w:p w:rsidR="007E7BDD" w:rsidP="000E4DA2">
      <w:pPr>
        <w:pStyle w:val="NoPaddingFontSize1"/>
      </w:pPr>
    </w:p>
    <w:p w:rsidR="007E7BDD" w:rsidP="000E4DA2">
      <w:pPr>
        <w:pStyle w:val="NoPaddingFontSize1"/>
      </w:pPr>
    </w:p>
    <w:p w:rsidR="00000000" w:rsidRPr="000E4DA2" w:rsidP="000E4DA2">
      <w:pPr>
        <w:pStyle w:val="Heading1"/>
      </w:pPr>
      <w:bookmarkStart w:id="9" w:name="O_1196470"/>
      <w:bookmarkEnd w:id="9"/>
      <w:r w:rsidRPr="000E4DA2">
        <w:t>Unit Mapping Information</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This unit replaces and is equivalent to TLIC3028A Operate and monit</w:t>
            </w:r>
            <w:r w:rsidRPr="000E4DA2">
              <w:t>or a heritage motive power unit.</w:t>
            </w:r>
          </w:p>
        </w:tc>
      </w:tr>
    </w:tbl>
    <w:p w:rsidR="007E7BDD" w:rsidP="000E4DA2">
      <w:pPr>
        <w:pStyle w:val="NoPaddingFontSize1"/>
      </w:pPr>
    </w:p>
    <w:p w:rsidR="007E7BDD" w:rsidP="000E4DA2">
      <w:pPr>
        <w:pStyle w:val="NoPaddingFontSize1"/>
      </w:pPr>
    </w:p>
    <w:p w:rsidR="00000000" w:rsidRPr="000E4DA2" w:rsidP="000E4DA2">
      <w:pPr>
        <w:pStyle w:val="Heading1"/>
      </w:pPr>
      <w:bookmarkStart w:id="10" w:name="O_1196479"/>
      <w:bookmarkEnd w:id="10"/>
      <w:r w:rsidRPr="000E4DA2">
        <w:t>Links</w:t>
      </w:r>
    </w:p>
    <w:p w:rsidR="00000000" w:rsidRPr="000E4DA2" w:rsidP="007E7BDD">
      <w:pPr>
        <w:pStyle w:val="BodyText"/>
      </w:pPr>
      <w:r w:rsidRPr="000E4DA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C1FA7">
        <w:rPr>
          <w:rStyle w:val="Hyperlink"/>
        </w:rPr>
        <w:t>https://vetnet.gov.au/Pages/TrainingDocs.aspx?q=df441c6e-213d-43e3-874c-0b3f7036d851</w:t>
      </w:r>
      <w:r>
        <w:fldChar w:fldCharType="end"/>
      </w:r>
    </w:p>
    <w:p w:rsidR="00000000" w:rsidRPr="000E4DA2" w:rsidP="007E7BDD">
      <w:pPr>
        <w:pStyle w:val="BodyText"/>
        <w:sectPr w:rsidSect="000E4DA2">
          <w:headerReference w:type="default" r:id="rId10"/>
          <w:footerReference w:type="default" r:id="rId11"/>
          <w:pgSz w:w="11908" w:h="16833"/>
          <w:pgMar w:top="1702" w:right="1418" w:bottom="1702" w:left="1418" w:header="992" w:footer="992" w:gutter="0"/>
          <w:cols w:space="720"/>
          <w:noEndnote/>
          <w:docGrid w:linePitch="299"/>
        </w:sectPr>
      </w:pPr>
    </w:p>
    <w:p w:rsidR="00000000" w:rsidRPr="000E4DA2" w:rsidP="000E4DA2">
      <w:pPr>
        <w:pStyle w:val="SuperHeading"/>
      </w:pPr>
      <w:r w:rsidRPr="000E4DA2">
        <w:t>Assessment Requirements for TLIC3028 Operate and monitor a heritage motive power unit</w:t>
      </w:r>
    </w:p>
    <w:p w:rsidR="00000000" w:rsidRPr="000E4DA2" w:rsidP="000E4DA2">
      <w:pPr>
        <w:pStyle w:val="Heading1"/>
      </w:pPr>
      <w:bookmarkStart w:id="11" w:name="O_1196468"/>
      <w:bookmarkEnd w:id="11"/>
      <w:r w:rsidRPr="000E4DA2">
        <w:t>Modification History</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Release 2</w:t>
            </w:r>
            <w:r w:rsidRPr="000E4DA2">
              <w:t>. This is the second release of this unit of competency in the TLI Transport and Logistics Training Package:</w:t>
            </w:r>
          </w:p>
          <w:p w:rsidR="00000000" w:rsidRPr="000E4DA2" w:rsidP="000E4DA2">
            <w:pPr>
              <w:pStyle w:val="ListBullet"/>
            </w:pPr>
            <w:r w:rsidRPr="000E4DA2">
              <w:t>Minor state</w:t>
            </w:r>
            <w:r w:rsidRPr="000E4DA2">
              <w:t>ment changes in Knowledge Evidence</w:t>
            </w:r>
          </w:p>
          <w:p w:rsidR="00000000" w:rsidP="000E4DA2">
            <w:pPr>
              <w:pStyle w:val="ListBullet"/>
              <w:rPr>
                <w:lang w:val="en-NZ"/>
              </w:rPr>
            </w:pPr>
            <w:r w:rsidRPr="000E4DA2">
              <w:t>Minor statement changes in Assessment Conditions.</w:t>
            </w:r>
          </w:p>
        </w:tc>
      </w:tr>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rPr>
                <w:rStyle w:val="SpecialBold"/>
              </w:rPr>
              <w:t>Release 1</w:t>
            </w:r>
            <w:r w:rsidRPr="000E4DA2">
              <w:t>. This is the first release of this unit of competency in the TLI Transport and Logistics Training Package.</w:t>
            </w:r>
          </w:p>
        </w:tc>
      </w:tr>
    </w:tbl>
    <w:p w:rsidR="007E7BDD" w:rsidP="000E4DA2">
      <w:pPr>
        <w:pStyle w:val="NoPaddingFontSize1"/>
      </w:pPr>
    </w:p>
    <w:p w:rsidR="007E7BDD" w:rsidP="000E4DA2">
      <w:pPr>
        <w:pStyle w:val="NoPaddingFontSize1"/>
      </w:pPr>
    </w:p>
    <w:p w:rsidR="00000000" w:rsidRPr="000E4DA2" w:rsidP="000E4DA2">
      <w:pPr>
        <w:pStyle w:val="Heading1"/>
      </w:pPr>
      <w:bookmarkStart w:id="12" w:name="O_1196467"/>
      <w:bookmarkEnd w:id="12"/>
      <w:r w:rsidRPr="000E4DA2">
        <w:t>Performance Evidence</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Evidence required to demonstrate competence in this unit must be relevant to and satisfy all of the requirements of the elements and performance criteria on at least one occasion and include:</w:t>
            </w:r>
          </w:p>
        </w:tc>
      </w:tr>
      <w:tr w:rsidTr="000E4DA2">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0E4DA2" w:rsidP="000E4DA2">
            <w:pPr>
              <w:pStyle w:val="ListBullet"/>
            </w:pPr>
            <w:r w:rsidRPr="000E4DA2">
              <w:t>adapting to differences in heritage motive power u</w:t>
            </w:r>
            <w:r w:rsidRPr="000E4DA2">
              <w:t>nits and associated equipment and procedures</w:t>
            </w:r>
          </w:p>
          <w:p w:rsidR="00000000" w:rsidRPr="000E4DA2" w:rsidP="000E4DA2">
            <w:pPr>
              <w:pStyle w:val="ListBullet"/>
            </w:pPr>
            <w:r w:rsidRPr="000E4DA2">
              <w:t xml:space="preserve">communicating effectively with other train crews and relevant personnel </w:t>
            </w:r>
          </w:p>
          <w:p w:rsidR="00000000" w:rsidRPr="000E4DA2" w:rsidP="000E4DA2">
            <w:pPr>
              <w:pStyle w:val="ListBullet"/>
            </w:pPr>
            <w:r w:rsidRPr="000E4DA2">
              <w:t xml:space="preserve">identifying job hazards and taking required actions to minimise, control or eliminate identified hazards </w:t>
            </w:r>
          </w:p>
          <w:p w:rsidR="00000000" w:rsidRPr="000E4DA2" w:rsidP="000E4DA2">
            <w:pPr>
              <w:pStyle w:val="ListBullet"/>
            </w:pPr>
            <w:r w:rsidRPr="000E4DA2">
              <w:t xml:space="preserve">implementing contingency plans </w:t>
            </w:r>
          </w:p>
          <w:p w:rsidR="00000000" w:rsidRPr="000E4DA2" w:rsidP="000E4DA2">
            <w:pPr>
              <w:pStyle w:val="ListBullet"/>
            </w:pPr>
            <w:r w:rsidRPr="000E4DA2">
              <w:t>interpreting and following operational instructions and prioritising work</w:t>
            </w:r>
          </w:p>
          <w:p w:rsidR="00000000" w:rsidRPr="000E4DA2" w:rsidP="000E4DA2">
            <w:pPr>
              <w:pStyle w:val="ListBullet"/>
            </w:pPr>
            <w:r w:rsidRPr="000E4DA2">
              <w:t>modifying activities depending on operational contingencies, risk situations and environments</w:t>
            </w:r>
          </w:p>
          <w:p w:rsidR="00000000" w:rsidRPr="000E4DA2" w:rsidP="000E4DA2">
            <w:pPr>
              <w:pStyle w:val="ListBullet"/>
            </w:pPr>
            <w:r w:rsidRPr="000E4DA2">
              <w:t>monitoring heritage motive power unit performance</w:t>
            </w:r>
          </w:p>
          <w:p w:rsidR="00000000" w:rsidRPr="000E4DA2" w:rsidP="000E4DA2">
            <w:pPr>
              <w:pStyle w:val="ListBullet"/>
            </w:pPr>
            <w:r w:rsidRPr="000E4DA2">
              <w:t>operating electronic communications eq</w:t>
            </w:r>
            <w:r w:rsidRPr="000E4DA2">
              <w:t>uipment to required protocol</w:t>
            </w:r>
          </w:p>
          <w:p w:rsidR="00000000" w:rsidRPr="000E4DA2" w:rsidP="000E4DA2">
            <w:pPr>
              <w:pStyle w:val="ListBullet"/>
            </w:pPr>
            <w:r w:rsidRPr="000E4DA2">
              <w:t xml:space="preserve">reading and interpreting relevant instructions, procedures, information and signs </w:t>
            </w:r>
          </w:p>
          <w:p w:rsidR="00000000" w:rsidRPr="000E4DA2" w:rsidP="000E4DA2">
            <w:pPr>
              <w:pStyle w:val="ListBullet"/>
            </w:pPr>
            <w:r w:rsidRPr="000E4DA2">
              <w:t>recognising problems that may arise when operating and monitoring a heritage motive power unit and taking appropriate actions</w:t>
            </w:r>
          </w:p>
          <w:p w:rsidR="00000000" w:rsidRPr="000E4DA2" w:rsidP="000E4DA2">
            <w:pPr>
              <w:pStyle w:val="ListBullet"/>
            </w:pPr>
            <w:r w:rsidRPr="000E4DA2">
              <w:t>selecting and usin</w:t>
            </w:r>
            <w:r w:rsidRPr="000E4DA2">
              <w:t>g required personal protective equipment (PPE) conforming to rail network and work health and safety (WHS)/occupational health and safety (OHS) standards.</w:t>
            </w:r>
          </w:p>
        </w:tc>
      </w:tr>
    </w:tbl>
    <w:p w:rsidR="007E7BDD" w:rsidP="000E4DA2">
      <w:pPr>
        <w:pStyle w:val="NoPaddingFontSize1"/>
      </w:pPr>
    </w:p>
    <w:p w:rsidR="007E7BDD" w:rsidP="000E4DA2">
      <w:pPr>
        <w:pStyle w:val="NoPaddingFontSize1"/>
      </w:pPr>
    </w:p>
    <w:p w:rsidR="00000000" w:rsidRPr="000E4DA2" w:rsidP="000E4DA2">
      <w:pPr>
        <w:pStyle w:val="Heading1"/>
      </w:pPr>
      <w:bookmarkStart w:id="13" w:name="O_1196466"/>
      <w:bookmarkEnd w:id="13"/>
      <w:r w:rsidRPr="000E4DA2">
        <w:t>Knowledge Evidence</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rPr>
          <w:trHeight w:val="807"/>
        </w:trPr>
        <w:tc>
          <w:tcPr>
            <w:tcW w:w="9497" w:type="dxa"/>
            <w:tcBorders>
              <w:top w:val="nil"/>
              <w:left w:val="nil"/>
              <w:bottom w:val="nil"/>
              <w:right w:val="nil"/>
            </w:tcBorders>
            <w:tcMar>
              <w:top w:w="0" w:type="dxa"/>
              <w:left w:w="62" w:type="dxa"/>
              <w:bottom w:w="0" w:type="dxa"/>
              <w:right w:w="62" w:type="dxa"/>
            </w:tcMar>
          </w:tcPr>
          <w:p w:rsidR="00000000" w:rsidP="000E4DA2">
            <w:pPr>
              <w:pStyle w:val="BodyText"/>
              <w:rPr>
                <w:lang w:val="en-NZ"/>
              </w:rPr>
            </w:pPr>
            <w:r w:rsidRPr="000E4DA2">
              <w:t>Evidence required to demonstrate competence in this unit must be relevant to and satisfy all of the requirements of the elements and performance criteria and include knowledge of:</w:t>
            </w:r>
          </w:p>
        </w:tc>
      </w:tr>
      <w:tr w:rsidTr="000E4DA2">
        <w:tblPrEx>
          <w:tblW w:w="9497" w:type="dxa"/>
          <w:tblLayout w:type="fixed"/>
          <w:tblCellMar>
            <w:left w:w="62" w:type="dxa"/>
            <w:right w:w="62" w:type="dxa"/>
          </w:tblCellMar>
          <w:tblLook w:val="0000"/>
        </w:tblPrEx>
        <w:trPr>
          <w:trHeight w:val="1560"/>
        </w:trPr>
        <w:tc>
          <w:tcPr>
            <w:tcW w:w="9497" w:type="dxa"/>
            <w:tcBorders>
              <w:top w:val="nil"/>
              <w:left w:val="nil"/>
              <w:bottom w:val="nil"/>
              <w:right w:val="nil"/>
            </w:tcBorders>
            <w:tcMar>
              <w:top w:w="0" w:type="dxa"/>
              <w:left w:w="62" w:type="dxa"/>
              <w:bottom w:w="0" w:type="dxa"/>
              <w:right w:w="62" w:type="dxa"/>
            </w:tcMar>
          </w:tcPr>
          <w:p w:rsidR="00000000" w:rsidRPr="000E4DA2" w:rsidP="000E4DA2">
            <w:pPr>
              <w:pStyle w:val="ListBullet"/>
            </w:pPr>
            <w:r w:rsidRPr="000E4DA2">
              <w:t>applicable state/territory legislated rail safety requirements, relevant c</w:t>
            </w:r>
            <w:r w:rsidRPr="000E4DA2">
              <w:t>odes of practice and/or guidelines, and local rail regulations as they relate to heritage railway operations</w:t>
            </w:r>
          </w:p>
          <w:p w:rsidR="00000000" w:rsidRPr="000E4DA2" w:rsidP="000E4DA2">
            <w:pPr>
              <w:pStyle w:val="ListBullet"/>
            </w:pPr>
            <w:r w:rsidRPr="000E4DA2">
              <w:t>braking and safety system procedures</w:t>
            </w:r>
          </w:p>
          <w:p w:rsidR="00000000" w:rsidRPr="000E4DA2" w:rsidP="000E4DA2">
            <w:pPr>
              <w:pStyle w:val="ListBullet"/>
            </w:pPr>
            <w:r w:rsidRPr="000E4DA2">
              <w:t>heritage motive power unit controls, instruments and indicators, and their purpose, location and use</w:t>
            </w:r>
          </w:p>
          <w:p w:rsidR="00000000" w:rsidRPr="000E4DA2" w:rsidP="000E4DA2">
            <w:pPr>
              <w:pStyle w:val="ListBullet"/>
            </w:pPr>
            <w:r w:rsidRPr="000E4DA2">
              <w:t>heritage motive power unit monitoring devices, braking and drive equipment, ancillary systems and signalling systems</w:t>
            </w:r>
          </w:p>
          <w:p w:rsidR="00000000" w:rsidRPr="000E4DA2" w:rsidP="000E4DA2">
            <w:pPr>
              <w:pStyle w:val="ListBullet"/>
            </w:pPr>
            <w:r w:rsidRPr="000E4DA2">
              <w:t>operating controls to start, accelerate, decelerate and stop a heritage motive power unit</w:t>
            </w:r>
          </w:p>
          <w:p w:rsidR="00000000" w:rsidRPr="000E4DA2" w:rsidP="000E4DA2">
            <w:pPr>
              <w:pStyle w:val="ListBullet"/>
            </w:pPr>
            <w:r w:rsidRPr="000E4DA2">
              <w:t>rail network system of safeworking including work</w:t>
            </w:r>
            <w:r w:rsidRPr="000E4DA2">
              <w:t>place procedures and operating requirements</w:t>
            </w:r>
          </w:p>
          <w:p w:rsidR="00000000" w:rsidRPr="000E4DA2" w:rsidP="000E4DA2">
            <w:pPr>
              <w:pStyle w:val="ListBullet"/>
            </w:pPr>
            <w:r w:rsidRPr="000E4DA2">
              <w:t>rail safety, WHS/OHS, and environmental procedures and regulations</w:t>
            </w:r>
          </w:p>
          <w:p w:rsidR="00000000" w:rsidRPr="000E4DA2" w:rsidP="000E4DA2">
            <w:pPr>
              <w:pStyle w:val="ListBullet"/>
            </w:pPr>
            <w:r w:rsidRPr="000E4DA2">
              <w:t>requirements for completing relevant documentation during and after operating and monitoring a heritage motive power unit</w:t>
            </w:r>
          </w:p>
          <w:p w:rsidR="00000000" w:rsidRPr="000E4DA2" w:rsidP="000E4DA2">
            <w:pPr>
              <w:pStyle w:val="ListBullet"/>
            </w:pPr>
            <w:r w:rsidRPr="000E4DA2">
              <w:t>speed and load limits f</w:t>
            </w:r>
            <w:r w:rsidRPr="000E4DA2">
              <w:t>or a heritage motive power unit</w:t>
            </w:r>
          </w:p>
          <w:p w:rsidR="00000000" w:rsidRPr="000E4DA2" w:rsidP="000E4DA2">
            <w:pPr>
              <w:pStyle w:val="ListBullet"/>
            </w:pPr>
            <w:r w:rsidRPr="000E4DA2">
              <w:t>track/bridge limitations, speed limitations, gauge limitations, curves and gradients, curfews, location of signals and crossings, emergency crossovers and operation of a turntable</w:t>
            </w:r>
          </w:p>
          <w:p w:rsidR="00000000" w:rsidRPr="000E4DA2" w:rsidP="000E4DA2">
            <w:pPr>
              <w:pStyle w:val="ListBullet"/>
            </w:pPr>
            <w:r w:rsidRPr="000E4DA2">
              <w:t xml:space="preserve">typical faults that can occur on a heritage </w:t>
            </w:r>
            <w:r w:rsidRPr="000E4DA2">
              <w:t>motive power unit and related actions that should be taken when repairing, isolating, replacing, reporting and recording faulty equipment</w:t>
            </w:r>
          </w:p>
          <w:p w:rsidR="00000000" w:rsidRPr="000E4DA2" w:rsidP="000E4DA2">
            <w:pPr>
              <w:pStyle w:val="ListBullet"/>
            </w:pPr>
            <w:r w:rsidRPr="000E4DA2">
              <w:t>workplace procedures for:</w:t>
            </w:r>
          </w:p>
          <w:p w:rsidR="00000000" w:rsidRPr="000E4DA2" w:rsidP="000E4DA2">
            <w:pPr>
              <w:pStyle w:val="ListBullet2"/>
            </w:pPr>
            <w:r w:rsidRPr="000E4DA2">
              <w:t>adjusting controls to maximise efficient and safe running</w:t>
            </w:r>
          </w:p>
          <w:p w:rsidR="00000000" w:rsidRPr="000E4DA2" w:rsidP="000E4DA2">
            <w:pPr>
              <w:pStyle w:val="ListBullet2"/>
            </w:pPr>
            <w:r w:rsidRPr="000E4DA2">
              <w:t>checking battery and fluid levels</w:t>
            </w:r>
            <w:r w:rsidRPr="000E4DA2">
              <w:t xml:space="preserve"> and/or lubrication of a heritage motive power unit in accordance with safety data sheets (SDS)/material safety data sheets (MSDS) and/or manufacturer instructions and workplace procedures</w:t>
            </w:r>
          </w:p>
          <w:p w:rsidR="00000000" w:rsidRPr="000E4DA2" w:rsidP="000E4DA2">
            <w:pPr>
              <w:pStyle w:val="ListBullet2"/>
            </w:pPr>
            <w:r w:rsidRPr="000E4DA2">
              <w:t>emergency response procedures</w:t>
            </w:r>
          </w:p>
          <w:p w:rsidR="00000000" w:rsidRPr="000E4DA2" w:rsidP="000E4DA2">
            <w:pPr>
              <w:pStyle w:val="ListBullet2"/>
            </w:pPr>
            <w:r w:rsidRPr="000E4DA2">
              <w:t xml:space="preserve">identifying </w:t>
            </w:r>
            <w:r w:rsidRPr="000E4DA2">
              <w:t>equipment defects and assessing them for appropriate actions</w:t>
            </w:r>
          </w:p>
          <w:p w:rsidR="00000000" w:rsidRPr="000E4DA2" w:rsidP="000E4DA2">
            <w:pPr>
              <w:pStyle w:val="ListBullet2"/>
            </w:pPr>
            <w:r w:rsidRPr="000E4DA2">
              <w:t>managing safety incidents and hazardous situations that may arise when operating and monitoring a heritage motive power unit</w:t>
            </w:r>
          </w:p>
          <w:p w:rsidR="00000000" w:rsidRPr="000E4DA2" w:rsidP="000E4DA2">
            <w:pPr>
              <w:pStyle w:val="ListBullet2"/>
            </w:pPr>
            <w:r w:rsidRPr="000E4DA2">
              <w:t>minor maintenance, cleaning, lubricating and servicing of a heritage m</w:t>
            </w:r>
            <w:r w:rsidRPr="000E4DA2">
              <w:t>otive power unit</w:t>
            </w:r>
          </w:p>
          <w:p w:rsidR="00000000" w:rsidRPr="000E4DA2" w:rsidP="000E4DA2">
            <w:pPr>
              <w:pStyle w:val="ListBullet2"/>
            </w:pPr>
            <w:r w:rsidRPr="000E4DA2">
              <w:t>operating and monitoring a heritage motive power unit</w:t>
            </w:r>
          </w:p>
          <w:p w:rsidR="00000000" w:rsidRPr="000E4DA2" w:rsidP="000E4DA2">
            <w:pPr>
              <w:pStyle w:val="ListBullet2"/>
            </w:pPr>
            <w:r w:rsidRPr="000E4DA2">
              <w:t>operating and monitoring ancillary equipment on a heritage motive power unit</w:t>
            </w:r>
          </w:p>
          <w:p w:rsidR="00000000" w:rsidRPr="000E4DA2" w:rsidP="000E4DA2">
            <w:pPr>
              <w:pStyle w:val="ListBullet2"/>
            </w:pPr>
            <w:r w:rsidRPr="000E4DA2">
              <w:t>required protocol for operating electronic communications equipment.</w:t>
            </w:r>
          </w:p>
        </w:tc>
      </w:tr>
    </w:tbl>
    <w:p w:rsidR="007E7BDD" w:rsidP="000E4DA2">
      <w:pPr>
        <w:pStyle w:val="NoPaddingFontSize1"/>
      </w:pPr>
    </w:p>
    <w:p w:rsidR="007E7BDD" w:rsidP="000E4DA2">
      <w:pPr>
        <w:pStyle w:val="NoPaddingFontSize1"/>
      </w:pPr>
    </w:p>
    <w:p w:rsidR="00000000" w:rsidRPr="000E4DA2" w:rsidP="000E4DA2">
      <w:pPr>
        <w:pStyle w:val="Heading1"/>
      </w:pPr>
      <w:bookmarkStart w:id="14" w:name="O_1196465"/>
      <w:bookmarkEnd w:id="14"/>
      <w:r w:rsidRPr="000E4DA2">
        <w:t>Assessment Condit</w:t>
      </w:r>
      <w:r w:rsidRPr="000E4DA2">
        <w:t>ions</w:t>
      </w:r>
    </w:p>
    <w:tbl>
      <w:tblPr>
        <w:tblW w:w="9497" w:type="dxa"/>
        <w:tblLayout w:type="fixed"/>
        <w:tblCellMar>
          <w:left w:w="62" w:type="dxa"/>
          <w:right w:w="62" w:type="dxa"/>
        </w:tblCellMar>
        <w:tblLook w:val="0000"/>
      </w:tblPr>
      <w:tblGrid>
        <w:gridCol w:w="9497"/>
      </w:tblGrid>
      <w:tr w:rsidTr="000E4D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DA2" w:rsidP="000E4DA2">
            <w:pPr>
              <w:pStyle w:val="BodyText"/>
            </w:pPr>
            <w:r w:rsidRPr="000E4DA2">
              <w:t xml:space="preserve">Assessors must hold credentials specified within the Standards for Registered Training Organisations current at the time of assessment. </w:t>
            </w:r>
          </w:p>
          <w:p w:rsidR="00000000" w:rsidRPr="000E4DA2" w:rsidP="000E4DA2">
            <w:pPr>
              <w:pStyle w:val="BodyText"/>
            </w:pPr>
            <w:r w:rsidRPr="000E4DA2">
              <w:t>Assessment must satisfy the Principles of Assessment and Rule</w:t>
            </w:r>
            <w:r w:rsidRPr="000E4DA2">
              <w:t>s of Evidence and all regulatory requirements included within the Standards for Registered Training Organisations current at the time of assessment.</w:t>
            </w:r>
          </w:p>
          <w:p w:rsidR="00000000" w:rsidRPr="000E4DA2" w:rsidP="000E4DA2">
            <w:pPr>
              <w:pStyle w:val="BodyText"/>
            </w:pPr>
            <w:r w:rsidRPr="000E4DA2">
              <w:t>Assessment must occur in workplace operational situations where it is appropriate to do so; where this is n</w:t>
            </w:r>
            <w:r w:rsidRPr="000E4DA2">
              <w:t>ot appropriate, assessment must occur in simulated workplace operational situations that replicate rail corridor workplace conditions.</w:t>
            </w:r>
          </w:p>
          <w:p w:rsidR="00000000" w:rsidRPr="000E4DA2" w:rsidP="000E4DA2">
            <w:pPr>
              <w:pStyle w:val="BodyText"/>
            </w:pPr>
            <w:r w:rsidRPr="000E4DA2">
              <w:t>Assessment processes and techniques must be appropriate to the language, literacy and numeracy requirements of the work b</w:t>
            </w:r>
            <w:r w:rsidRPr="000E4DA2">
              <w:t>eing performed and the needs of the candidate.</w:t>
            </w:r>
          </w:p>
          <w:p w:rsidR="00000000" w:rsidRPr="000E4DA2" w:rsidP="000E4DA2">
            <w:pPr>
              <w:pStyle w:val="BodyText"/>
            </w:pPr>
            <w:r w:rsidRPr="000E4DA2">
              <w:t>Resources for assessment must include access to:</w:t>
            </w:r>
          </w:p>
          <w:p w:rsidR="00000000" w:rsidRPr="000E4DA2" w:rsidP="000E4DA2">
            <w:pPr>
              <w:pStyle w:val="ListBullet"/>
            </w:pPr>
            <w:r w:rsidRPr="000E4DA2">
              <w:t>a range of relevant exercises, case studies and/or simulations</w:t>
            </w:r>
          </w:p>
          <w:p w:rsidR="00000000" w:rsidRPr="000E4DA2" w:rsidP="000E4DA2">
            <w:pPr>
              <w:pStyle w:val="ListBullet"/>
            </w:pPr>
            <w:r w:rsidRPr="000E4DA2">
              <w:t>relevant and appropriate materials, tools, equipment and PPE currently used in industry</w:t>
            </w:r>
          </w:p>
          <w:p w:rsidR="00000000" w:rsidRPr="000E4DA2" w:rsidP="000E4DA2">
            <w:pPr>
              <w:pStyle w:val="ListBullet"/>
            </w:pPr>
            <w:r w:rsidRPr="000E4DA2">
              <w:t>applicab</w:t>
            </w:r>
            <w:r w:rsidRPr="000E4DA2">
              <w:t>le documentation including workplace procedures, regulations, codes of practice and operation manuals.</w:t>
            </w:r>
          </w:p>
        </w:tc>
      </w:tr>
    </w:tbl>
    <w:p w:rsidR="00000000" w:rsidRPr="000E4DA2" w:rsidP="000E4DA2">
      <w:pPr>
        <w:pStyle w:val="NoPaddingFontSize1"/>
      </w:pPr>
    </w:p>
    <w:p w:rsidR="00000000" w:rsidRPr="000E4DA2" w:rsidP="000E4DA2">
      <w:pPr>
        <w:pStyle w:val="AllowPageBreak"/>
      </w:pPr>
    </w:p>
    <w:p w:rsidR="00000000" w:rsidRPr="000E4DA2" w:rsidP="000E4DA2">
      <w:pPr>
        <w:pStyle w:val="Heading1"/>
      </w:pPr>
      <w:bookmarkStart w:id="15" w:name="O_1196480"/>
      <w:bookmarkEnd w:id="15"/>
      <w:r w:rsidRPr="000E4DA2">
        <w:t>Links</w:t>
      </w:r>
    </w:p>
    <w:p w:rsidR="00000000" w:rsidRPr="000E4DA2" w:rsidP="007E7BDD">
      <w:pPr>
        <w:pStyle w:val="BodyText"/>
      </w:pPr>
      <w:r w:rsidRPr="000E4DA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C1FA7">
        <w:rPr>
          <w:rStyle w:val="Hyperlink"/>
        </w:rPr>
        <w:t>https://vetnet.gov.au/Pages/TrainingDocs.aspx?q=df441c6e-213d-43e3-874c-0b3f7036d851</w:t>
      </w:r>
      <w:r>
        <w:fldChar w:fldCharType="end"/>
      </w:r>
    </w:p>
    <w:p w:rsidR="00000000" w:rsidRPr="000E4DA2" w:rsidP="000E4DA2"/>
    <w:sectPr w:rsidSect="000E4D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rsidRPr="007E7BDD" w:rsidP="007E7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DD" w:rsidP="000E4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7BDD" w:rsidP="000E4D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E7BDD" w:rsidP="000E4D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rsidP="000E4DA2">
    <w:pPr>
      <w:pStyle w:val="Footer"/>
      <w:framePr w:wrap="around"/>
    </w:pPr>
    <w:r>
      <w:fldChar w:fldCharType="begin"/>
    </w:r>
    <w:r>
      <w:instrText xml:space="preserve"> DOCPROPERTY  Subject  \* MERGEFORMAT </w:instrText>
    </w:r>
    <w:r>
      <w:fldChar w:fldCharType="separate"/>
    </w:r>
    <w:r w:rsidR="007E7BDD">
      <w:t>Approved</w:t>
    </w:r>
    <w:r w:rsidR="007E7BDD">
      <w:fldChar w:fldCharType="end"/>
    </w:r>
    <w:r>
      <w:tab/>
      <w:t xml:space="preserve">Page </w:t>
    </w:r>
    <w:r>
      <w:fldChar w:fldCharType="begin"/>
    </w:r>
    <w:r>
      <w:instrText xml:space="preserve"> PAGE  \* Arabic  \* MERGEFORMAT </w:instrText>
    </w:r>
    <w:r>
      <w:fldChar w:fldCharType="separate"/>
    </w:r>
    <w:r w:rsidR="007E7B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BDD">
      <w:rPr>
        <w:noProof/>
      </w:rPr>
      <w:t>5</w:t>
    </w:r>
    <w:r>
      <w:rPr>
        <w:noProof/>
      </w:rPr>
      <w:fldChar w:fldCharType="end"/>
    </w:r>
  </w:p>
  <w:p w:rsidR="000E4DA2" w:rsidP="000E4DA2">
    <w:pPr>
      <w:pStyle w:val="Footer"/>
      <w:framePr w:wrap="around"/>
    </w:pPr>
    <w:r>
      <w:t xml:space="preserve">© Commonwealth of Australia, </w:t>
    </w:r>
    <w:r>
      <w:fldChar w:fldCharType="begin"/>
    </w:r>
    <w:r>
      <w:instrText xml:space="preserve"> DATE  \@ "yyyy"  \* MERGEFORMAT </w:instrText>
    </w:r>
    <w:r>
      <w:fldChar w:fldCharType="separate"/>
    </w:r>
    <w:r w:rsidR="007E7BDD">
      <w:rPr>
        <w:noProof/>
      </w:rPr>
      <w:t>2025</w:t>
    </w:r>
    <w:r>
      <w:fldChar w:fldCharType="end"/>
    </w:r>
    <w:r>
      <w:tab/>
    </w:r>
    <w:r>
      <w:fldChar w:fldCharType="begin"/>
    </w:r>
    <w:r>
      <w:instrText xml:space="preserve"> DOCPROPERTY  Author  \* MERGEFORMAT </w:instrText>
    </w:r>
    <w:r>
      <w:fldChar w:fldCharType="separate"/>
    </w:r>
    <w:r w:rsidR="007E7BDD">
      <w:t>Industry Skills Australia</w:t>
    </w:r>
    <w:r w:rsidR="007E7BDD">
      <w:fldChar w:fldCharType="end"/>
    </w:r>
  </w:p>
  <w:p w:rsidR="000E4DA2" w:rsidP="000E4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DA2" w:rsidRPr="007E7BDD" w:rsidP="007E7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DD" w:rsidRPr="002D2AF8" w:rsidP="000E4DA2">
    <w:pPr>
      <w:pStyle w:val="Header"/>
      <w:framePr w:wrap="around"/>
    </w:pPr>
    <w:r>
      <w:fldChar w:fldCharType="begin"/>
    </w:r>
    <w:r>
      <w:instrText xml:space="preserve"> TITLE   \* MERGEFORMAT </w:instrText>
    </w:r>
    <w:r>
      <w:fldChar w:fldCharType="separate"/>
    </w:r>
    <w:r>
      <w:t>TLIC3028 Operate and monitor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7BDD" w:rsidP="000E4D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A2" w:rsidRPr="002D2AF8" w:rsidP="000E4DA2">
    <w:pPr>
      <w:pStyle w:val="Header"/>
      <w:framePr w:wrap="around"/>
    </w:pPr>
    <w:r>
      <w:fldChar w:fldCharType="begin"/>
    </w:r>
    <w:r>
      <w:instrText xml:space="preserve"> TITLE   \* MERGEFORMAT </w:instrText>
    </w:r>
    <w:r>
      <w:fldChar w:fldCharType="separate"/>
    </w:r>
    <w:r w:rsidR="007E7BDD">
      <w:t>TLIC3028 Operate and monitor a heritage motive power unit</w:t>
    </w:r>
    <w:r w:rsidR="007E7BDD">
      <w:fldChar w:fldCharType="end"/>
    </w:r>
    <w:r>
      <w:tab/>
      <w:t xml:space="preserve">Date this document was generated: </w:t>
    </w:r>
    <w:r>
      <w:fldChar w:fldCharType="begin"/>
    </w:r>
    <w:r>
      <w:instrText xml:space="preserve"> CREATEDATE  \@ "d MMMM yyyy"  \* MERGEFORMAT </w:instrText>
    </w:r>
    <w:r>
      <w:fldChar w:fldCharType="separate"/>
    </w:r>
    <w:r w:rsidR="007E7BDD">
      <w:rPr>
        <w:noProof/>
      </w:rPr>
      <w:t>1 March 2025</w:t>
    </w:r>
    <w:r>
      <w:fldChar w:fldCharType="end"/>
    </w:r>
  </w:p>
  <w:p w:rsidR="000E4DA2" w:rsidP="000E4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43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ACC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6A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DA2"/>
    <w:pPr>
      <w:spacing w:before="360" w:after="60"/>
      <w:outlineLvl w:val="0"/>
    </w:pPr>
    <w:rPr>
      <w:sz w:val="32"/>
    </w:rPr>
  </w:style>
  <w:style w:type="paragraph" w:styleId="Heading2">
    <w:name w:val="heading 2"/>
    <w:basedOn w:val="HeadingBase"/>
    <w:next w:val="BodyText"/>
    <w:link w:val="Heading2Char"/>
    <w:qFormat/>
    <w:rsid w:val="000E4DA2"/>
    <w:pPr>
      <w:keepLines/>
      <w:spacing w:before="240" w:after="120"/>
      <w:outlineLvl w:val="1"/>
    </w:pPr>
    <w:rPr>
      <w:sz w:val="28"/>
      <w:szCs w:val="40"/>
    </w:rPr>
  </w:style>
  <w:style w:type="paragraph" w:styleId="Heading3">
    <w:name w:val="heading 3"/>
    <w:basedOn w:val="HeadingBase"/>
    <w:next w:val="BodyText"/>
    <w:link w:val="Heading3Char"/>
    <w:qFormat/>
    <w:rsid w:val="000E4DA2"/>
    <w:pPr>
      <w:spacing w:before="180" w:after="120"/>
      <w:outlineLvl w:val="2"/>
    </w:pPr>
    <w:rPr>
      <w:spacing w:val="-10"/>
      <w:kern w:val="32"/>
    </w:rPr>
  </w:style>
  <w:style w:type="paragraph" w:styleId="Heading4">
    <w:name w:val="heading 4"/>
    <w:basedOn w:val="HeadingBase"/>
    <w:next w:val="BodyText"/>
    <w:link w:val="Heading4Char"/>
    <w:qFormat/>
    <w:rsid w:val="000E4DA2"/>
    <w:pPr>
      <w:spacing w:before="160" w:after="120"/>
      <w:outlineLvl w:val="3"/>
    </w:pPr>
    <w:rPr>
      <w:sz w:val="22"/>
    </w:rPr>
  </w:style>
  <w:style w:type="paragraph" w:styleId="Heading5">
    <w:name w:val="heading 5"/>
    <w:basedOn w:val="HeadingBase"/>
    <w:next w:val="Normal"/>
    <w:link w:val="Heading5Char"/>
    <w:qFormat/>
    <w:rsid w:val="000E4DA2"/>
    <w:pPr>
      <w:spacing w:before="80"/>
      <w:outlineLvl w:val="4"/>
    </w:pPr>
    <w:rPr>
      <w:color w:val="918585"/>
      <w:sz w:val="20"/>
    </w:rPr>
  </w:style>
  <w:style w:type="paragraph" w:styleId="Heading6">
    <w:name w:val="heading 6"/>
    <w:basedOn w:val="HeadingBase"/>
    <w:next w:val="Normal"/>
    <w:link w:val="Heading6Char"/>
    <w:qFormat/>
    <w:rsid w:val="000E4DA2"/>
    <w:pPr>
      <w:spacing w:before="60"/>
      <w:outlineLvl w:val="5"/>
    </w:pPr>
    <w:rPr>
      <w:color w:val="918585"/>
      <w:sz w:val="20"/>
    </w:rPr>
  </w:style>
  <w:style w:type="paragraph" w:styleId="Heading7">
    <w:name w:val="heading 7"/>
    <w:basedOn w:val="Normal"/>
    <w:next w:val="Normal"/>
    <w:link w:val="Heading7Char"/>
    <w:qFormat/>
    <w:rsid w:val="000E4DA2"/>
    <w:pPr>
      <w:ind w:left="720"/>
      <w:outlineLvl w:val="6"/>
    </w:pPr>
    <w:rPr>
      <w:i/>
    </w:rPr>
  </w:style>
  <w:style w:type="paragraph" w:styleId="Heading8">
    <w:name w:val="heading 8"/>
    <w:basedOn w:val="Normal"/>
    <w:next w:val="Normal"/>
    <w:link w:val="Heading8Char"/>
    <w:qFormat/>
    <w:rsid w:val="000E4DA2"/>
    <w:pPr>
      <w:ind w:left="720"/>
      <w:outlineLvl w:val="7"/>
    </w:pPr>
    <w:rPr>
      <w:i/>
    </w:rPr>
  </w:style>
  <w:style w:type="paragraph" w:styleId="Heading9">
    <w:name w:val="heading 9"/>
    <w:basedOn w:val="Normal"/>
    <w:next w:val="Normal"/>
    <w:link w:val="Heading9Char"/>
    <w:qFormat/>
    <w:rsid w:val="000E4DA2"/>
    <w:pPr>
      <w:ind w:left="720"/>
      <w:outlineLvl w:val="8"/>
    </w:pPr>
    <w:rPr>
      <w:i/>
    </w:rPr>
  </w:style>
  <w:style w:type="character" w:default="1" w:styleId="DefaultParagraphFont">
    <w:name w:val="Default Paragraph Font"/>
    <w:uiPriority w:val="1"/>
    <w:unhideWhenUsed/>
    <w:rsid w:val="000E4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DA2"/>
  </w:style>
  <w:style w:type="character" w:customStyle="1" w:styleId="Heading1Char">
    <w:name w:val="Heading 1 Char"/>
    <w:basedOn w:val="DefaultParagraphFont"/>
    <w:link w:val="Heading1"/>
    <w:rsid w:val="000E4DA2"/>
    <w:rPr>
      <w:rFonts w:ascii="Times New Roman" w:eastAsia="Times New Roman" w:hAnsi="Times New Roman" w:cs="Times New Roman"/>
      <w:b/>
      <w:sz w:val="32"/>
      <w:szCs w:val="20"/>
      <w:lang w:eastAsia="en-US"/>
    </w:rPr>
  </w:style>
  <w:style w:type="paragraph" w:styleId="BodyText">
    <w:name w:val="Body Text"/>
    <w:basedOn w:val="Normal"/>
    <w:link w:val="BodyTextChar"/>
    <w:rsid w:val="000E4D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DA2"/>
    <w:rPr>
      <w:rFonts w:ascii="Times New Roman" w:eastAsia="Times New Roman" w:hAnsi="Times New Roman" w:cs="Times New Roman"/>
      <w:sz w:val="24"/>
      <w:lang w:eastAsia="en-US"/>
    </w:rPr>
  </w:style>
  <w:style w:type="paragraph" w:styleId="ListBullet">
    <w:name w:val="List Bullet"/>
    <w:basedOn w:val="List"/>
    <w:rsid w:val="000E4DA2"/>
    <w:pPr>
      <w:numPr>
        <w:numId w:val="12"/>
      </w:numPr>
      <w:tabs>
        <w:tab w:val="clear" w:pos="340"/>
      </w:tabs>
      <w:spacing w:before="40" w:after="40"/>
    </w:pPr>
  </w:style>
  <w:style w:type="character" w:customStyle="1" w:styleId="SpecialBold">
    <w:name w:val="Special Bold"/>
    <w:basedOn w:val="DefaultParagraphFont"/>
    <w:rsid w:val="000E4DA2"/>
    <w:rPr>
      <w:b/>
      <w:spacing w:val="0"/>
    </w:rPr>
  </w:style>
  <w:style w:type="paragraph" w:styleId="ListBullet2">
    <w:name w:val="List Bullet 2"/>
    <w:basedOn w:val="List2"/>
    <w:rsid w:val="000E4DA2"/>
    <w:pPr>
      <w:numPr>
        <w:numId w:val="13"/>
      </w:numPr>
      <w:tabs>
        <w:tab w:val="clear" w:pos="680"/>
      </w:tabs>
    </w:pPr>
  </w:style>
  <w:style w:type="paragraph" w:customStyle="1" w:styleId="SuperHeading">
    <w:name w:val="SuperHeading"/>
    <w:basedOn w:val="Normal"/>
    <w:rsid w:val="000E4DA2"/>
    <w:pPr>
      <w:spacing w:before="240" w:after="120"/>
      <w:outlineLvl w:val="0"/>
    </w:pPr>
    <w:rPr>
      <w:rFonts w:ascii="Times New Roman" w:hAnsi="Times New Roman"/>
      <w:b/>
      <w:sz w:val="32"/>
    </w:rPr>
  </w:style>
  <w:style w:type="paragraph" w:customStyle="1" w:styleId="AllowPageBreak">
    <w:name w:val="AllowPageBreak"/>
    <w:rsid w:val="000E4D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4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DA2"/>
    <w:rPr>
      <w:rFonts w:ascii="Courier New" w:eastAsia="Times New Roman" w:hAnsi="Courier New" w:cs="Times New Roman"/>
      <w:i/>
      <w:szCs w:val="20"/>
      <w:lang w:eastAsia="en-US"/>
    </w:rPr>
  </w:style>
  <w:style w:type="paragraph" w:customStyle="1" w:styleId="HeadingBase">
    <w:name w:val="Heading Base"/>
    <w:rsid w:val="000E4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DA2"/>
    <w:pPr>
      <w:tabs>
        <w:tab w:val="right" w:leader="dot" w:pos="9072"/>
      </w:tabs>
      <w:ind w:left="567"/>
    </w:pPr>
    <w:rPr>
      <w:szCs w:val="22"/>
    </w:rPr>
  </w:style>
  <w:style w:type="paragraph" w:customStyle="1" w:styleId="TOCBase">
    <w:name w:val="TOC Base"/>
    <w:rsid w:val="000E4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DA2"/>
    <w:pPr>
      <w:tabs>
        <w:tab w:val="right" w:leader="dot" w:pos="9072"/>
      </w:tabs>
      <w:spacing w:before="40" w:after="40"/>
      <w:ind w:left="284"/>
    </w:pPr>
    <w:rPr>
      <w:rFonts w:ascii="Times New Roman" w:hAnsi="Times New Roman"/>
    </w:rPr>
  </w:style>
  <w:style w:type="paragraph" w:styleId="TOC1">
    <w:name w:val="toc 1"/>
    <w:basedOn w:val="TOCBase"/>
    <w:next w:val="Normal"/>
    <w:rsid w:val="000E4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DA2"/>
    <w:rPr>
      <w:rFonts w:ascii="Times New Roman" w:eastAsia="Times New Roman" w:hAnsi="Times New Roman" w:cs="Times New Roman"/>
      <w:sz w:val="16"/>
      <w:lang w:eastAsia="en-US"/>
    </w:rPr>
  </w:style>
  <w:style w:type="paragraph" w:styleId="Title">
    <w:name w:val="Title"/>
    <w:basedOn w:val="HeadingBase"/>
    <w:link w:val="TitleChar"/>
    <w:qFormat/>
    <w:rsid w:val="000E4DA2"/>
    <w:pPr>
      <w:spacing w:before="5040"/>
      <w:jc w:val="center"/>
    </w:pPr>
    <w:rPr>
      <w:sz w:val="48"/>
      <w:szCs w:val="72"/>
      <w:lang w:val="en-US"/>
    </w:rPr>
  </w:style>
  <w:style w:type="character" w:customStyle="1" w:styleId="TitleChar">
    <w:name w:val="Title Char"/>
    <w:basedOn w:val="DefaultParagraphFont"/>
    <w:link w:val="Title"/>
    <w:rsid w:val="000E4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DA2"/>
    <w:pPr>
      <w:tabs>
        <w:tab w:val="left" w:pos="3600"/>
        <w:tab w:val="left" w:pos="3958"/>
      </w:tabs>
    </w:pPr>
  </w:style>
  <w:style w:type="paragraph" w:styleId="List">
    <w:name w:val="List"/>
    <w:basedOn w:val="BodyText"/>
    <w:next w:val="BodyText"/>
    <w:rsid w:val="000E4DA2"/>
    <w:pPr>
      <w:tabs>
        <w:tab w:val="left" w:pos="340"/>
      </w:tabs>
      <w:spacing w:before="60" w:after="60"/>
      <w:ind w:left="340" w:hanging="340"/>
    </w:pPr>
  </w:style>
  <w:style w:type="paragraph" w:customStyle="1" w:styleId="Note">
    <w:name w:val="Note"/>
    <w:basedOn w:val="BodyText"/>
    <w:rsid w:val="000E4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DA2"/>
    <w:pPr>
      <w:framePr w:wrap="auto" w:hAnchor="text" w:y="6049"/>
    </w:pPr>
    <w:rPr>
      <w:color w:val="000000"/>
      <w:sz w:val="40"/>
    </w:rPr>
  </w:style>
  <w:style w:type="paragraph" w:customStyle="1" w:styleId="TOCTitle">
    <w:name w:val="TOCTitle"/>
    <w:basedOn w:val="Heading1"/>
    <w:rsid w:val="000E4DA2"/>
    <w:pPr>
      <w:spacing w:after="240"/>
      <w:jc w:val="center"/>
      <w:outlineLvl w:val="9"/>
    </w:pPr>
    <w:rPr>
      <w:caps/>
    </w:rPr>
  </w:style>
  <w:style w:type="paragraph" w:customStyle="1" w:styleId="Version">
    <w:name w:val="Version"/>
    <w:rsid w:val="000E4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DA2"/>
    <w:pPr>
      <w:keepNext w:val="0"/>
      <w:tabs>
        <w:tab w:val="right" w:pos="4176"/>
      </w:tabs>
      <w:ind w:left="198" w:hanging="198"/>
    </w:pPr>
    <w:rPr>
      <w:rFonts w:ascii="Garamond" w:hAnsi="Garamond"/>
    </w:rPr>
  </w:style>
  <w:style w:type="paragraph" w:styleId="IndexHeading">
    <w:name w:val="index heading"/>
    <w:basedOn w:val="Normal"/>
    <w:next w:val="Index1"/>
    <w:semiHidden/>
    <w:rsid w:val="000E4DA2"/>
    <w:pPr>
      <w:spacing w:before="120" w:after="120"/>
    </w:pPr>
    <w:rPr>
      <w:rFonts w:ascii="Arial" w:hAnsi="Arial"/>
      <w:b/>
      <w:color w:val="918585"/>
      <w:sz w:val="24"/>
    </w:rPr>
  </w:style>
  <w:style w:type="paragraph" w:styleId="Header">
    <w:name w:val="header"/>
    <w:basedOn w:val="Normal"/>
    <w:link w:val="HeaderChar"/>
    <w:rsid w:val="000E4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DA2"/>
    <w:rPr>
      <w:rFonts w:ascii="Times New Roman" w:eastAsia="Times New Roman" w:hAnsi="Times New Roman" w:cs="Times New Roman"/>
      <w:sz w:val="16"/>
      <w:szCs w:val="20"/>
      <w:lang w:val="en-GB" w:eastAsia="en-US"/>
    </w:rPr>
  </w:style>
  <w:style w:type="paragraph" w:customStyle="1" w:styleId="Chapter">
    <w:name w:val="Chapter"/>
    <w:basedOn w:val="Normal"/>
    <w:rsid w:val="000E4DA2"/>
    <w:pPr>
      <w:spacing w:before="240"/>
    </w:pPr>
    <w:rPr>
      <w:rFonts w:ascii="Times New Roman" w:hAnsi="Times New Roman"/>
      <w:smallCaps/>
      <w:spacing w:val="80"/>
      <w:sz w:val="28"/>
    </w:rPr>
  </w:style>
  <w:style w:type="paragraph" w:customStyle="1" w:styleId="InChapter">
    <w:name w:val="InChapter"/>
    <w:basedOn w:val="Heading3"/>
    <w:rsid w:val="000E4DA2"/>
    <w:pPr>
      <w:spacing w:after="240"/>
      <w:outlineLvl w:val="9"/>
    </w:pPr>
    <w:rPr>
      <w:noProof/>
    </w:rPr>
  </w:style>
  <w:style w:type="paragraph" w:styleId="Index2">
    <w:name w:val="index 2"/>
    <w:basedOn w:val="Normal"/>
    <w:next w:val="Normal"/>
    <w:semiHidden/>
    <w:rsid w:val="000E4DA2"/>
    <w:pPr>
      <w:tabs>
        <w:tab w:val="right" w:pos="4176"/>
      </w:tabs>
      <w:ind w:left="568" w:hanging="284"/>
    </w:pPr>
    <w:rPr>
      <w:rFonts w:ascii="Garamond" w:hAnsi="Garamond"/>
    </w:rPr>
  </w:style>
  <w:style w:type="paragraph" w:customStyle="1" w:styleId="Byline">
    <w:name w:val="Byline"/>
    <w:rsid w:val="000E4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DA2"/>
    <w:pPr>
      <w:tabs>
        <w:tab w:val="clear" w:pos="3600"/>
        <w:tab w:val="clear" w:pos="3958"/>
      </w:tabs>
      <w:jc w:val="right"/>
    </w:pPr>
  </w:style>
  <w:style w:type="character" w:styleId="Emphasis">
    <w:name w:val="Emphasis"/>
    <w:basedOn w:val="DefaultParagraphFont"/>
    <w:qFormat/>
    <w:rsid w:val="000E4DA2"/>
    <w:rPr>
      <w:i/>
    </w:rPr>
  </w:style>
  <w:style w:type="paragraph" w:styleId="Caption">
    <w:name w:val="caption"/>
    <w:basedOn w:val="BodyText"/>
    <w:next w:val="Normal"/>
    <w:qFormat/>
    <w:rsid w:val="000E4DA2"/>
    <w:pPr>
      <w:framePr w:w="2268" w:hSpace="181" w:vSpace="181" w:wrap="around" w:vAnchor="text" w:hAnchor="page" w:x="1135" w:y="285" w:anchorLock="1"/>
    </w:pPr>
    <w:rPr>
      <w:i/>
    </w:rPr>
  </w:style>
  <w:style w:type="paragraph" w:customStyle="1" w:styleId="MiniTOCTitle">
    <w:name w:val="MiniTOCTitle"/>
    <w:basedOn w:val="Heading4"/>
    <w:rsid w:val="000E4DA2"/>
    <w:pPr>
      <w:spacing w:before="240"/>
      <w:outlineLvl w:val="9"/>
    </w:pPr>
    <w:rPr>
      <w:noProof/>
      <w:sz w:val="24"/>
    </w:rPr>
  </w:style>
  <w:style w:type="paragraph" w:customStyle="1" w:styleId="MiniTOCItem">
    <w:name w:val="MiniTOCItem"/>
    <w:basedOn w:val="ListBullet"/>
    <w:rsid w:val="000E4DA2"/>
    <w:pPr>
      <w:numPr>
        <w:numId w:val="0"/>
      </w:numPr>
      <w:tabs>
        <w:tab w:val="right" w:leader="dot" w:pos="6521"/>
      </w:tabs>
      <w:spacing w:before="0" w:after="0"/>
    </w:pPr>
  </w:style>
  <w:style w:type="paragraph" w:customStyle="1" w:styleId="TOFTitle">
    <w:name w:val="TOFTitle"/>
    <w:basedOn w:val="TOCTitle"/>
    <w:rsid w:val="000E4DA2"/>
  </w:style>
  <w:style w:type="paragraph" w:styleId="TableofFigures">
    <w:name w:val="table of figures"/>
    <w:basedOn w:val="Normal"/>
    <w:next w:val="Normal"/>
    <w:semiHidden/>
    <w:rsid w:val="000E4DA2"/>
    <w:pPr>
      <w:tabs>
        <w:tab w:val="right" w:leader="dot" w:pos="9072"/>
      </w:tabs>
      <w:ind w:left="970" w:hanging="403"/>
    </w:pPr>
    <w:rPr>
      <w:rFonts w:ascii="Times New Roman" w:hAnsi="Times New Roman"/>
      <w:b/>
    </w:rPr>
  </w:style>
  <w:style w:type="paragraph" w:styleId="ListNumber">
    <w:name w:val="List Number"/>
    <w:basedOn w:val="List"/>
    <w:rsid w:val="000E4DA2"/>
    <w:pPr>
      <w:numPr>
        <w:numId w:val="15"/>
      </w:numPr>
      <w:tabs>
        <w:tab w:val="clear" w:pos="340"/>
      </w:tabs>
    </w:pPr>
  </w:style>
  <w:style w:type="character" w:customStyle="1" w:styleId="WingdingSymbols">
    <w:name w:val="Wingding Symbols"/>
    <w:rsid w:val="000E4DA2"/>
    <w:rPr>
      <w:rFonts w:ascii="Wingdings" w:hAnsi="Wingdings"/>
    </w:rPr>
  </w:style>
  <w:style w:type="paragraph" w:customStyle="1" w:styleId="TableHeading">
    <w:name w:val="Table Heading"/>
    <w:basedOn w:val="HeadingBase"/>
    <w:rsid w:val="000E4DA2"/>
    <w:pPr>
      <w:keepLines/>
      <w:pBdr>
        <w:bottom w:val="single" w:sz="6" w:space="1" w:color="918585"/>
      </w:pBdr>
      <w:spacing w:before="240"/>
    </w:pPr>
  </w:style>
  <w:style w:type="character" w:customStyle="1" w:styleId="HotSpot">
    <w:name w:val="HotSpot"/>
    <w:rsid w:val="000E4DA2"/>
    <w:rPr>
      <w:color w:val="0033CC"/>
      <w:u w:val="none"/>
    </w:rPr>
  </w:style>
  <w:style w:type="paragraph" w:customStyle="1" w:styleId="BodyTextRight">
    <w:name w:val="Body Text Right"/>
    <w:basedOn w:val="BodyText"/>
    <w:rsid w:val="000E4DA2"/>
    <w:pPr>
      <w:spacing w:before="0" w:after="0"/>
      <w:jc w:val="right"/>
    </w:pPr>
  </w:style>
  <w:style w:type="paragraph" w:styleId="Index3">
    <w:name w:val="index 3"/>
    <w:basedOn w:val="ListNumber2"/>
    <w:next w:val="Normal"/>
    <w:semiHidden/>
    <w:rsid w:val="000E4DA2"/>
    <w:pPr>
      <w:numPr>
        <w:numId w:val="0"/>
      </w:numPr>
      <w:tabs>
        <w:tab w:val="right" w:leader="dot" w:pos="4176"/>
      </w:tabs>
    </w:pPr>
  </w:style>
  <w:style w:type="paragraph" w:styleId="ListNumber2">
    <w:name w:val="List Number 2"/>
    <w:basedOn w:val="List2"/>
    <w:rsid w:val="000E4DA2"/>
    <w:pPr>
      <w:numPr>
        <w:numId w:val="10"/>
      </w:numPr>
      <w:tabs>
        <w:tab w:val="clear" w:pos="1060"/>
      </w:tabs>
    </w:pPr>
  </w:style>
  <w:style w:type="paragraph" w:customStyle="1" w:styleId="MarginNote">
    <w:name w:val="Margin Note"/>
    <w:basedOn w:val="BodyText"/>
    <w:rsid w:val="000E4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DA2"/>
    <w:rPr>
      <w:sz w:val="32"/>
    </w:rPr>
  </w:style>
  <w:style w:type="paragraph" w:customStyle="1" w:styleId="HeadingProcedure">
    <w:name w:val="Heading Procedure"/>
    <w:basedOn w:val="HeadingBase"/>
    <w:next w:val="Normal"/>
    <w:rsid w:val="000E4DA2"/>
    <w:pPr>
      <w:tabs>
        <w:tab w:val="left" w:pos="0"/>
      </w:tabs>
      <w:spacing w:before="120" w:after="60"/>
    </w:pPr>
    <w:rPr>
      <w:i/>
      <w:color w:val="918585"/>
      <w:sz w:val="22"/>
    </w:rPr>
  </w:style>
  <w:style w:type="paragraph" w:customStyle="1" w:styleId="TableBodyText">
    <w:name w:val="Table Body Text"/>
    <w:basedOn w:val="BodyText"/>
    <w:rsid w:val="000E4DA2"/>
    <w:pPr>
      <w:spacing w:before="60" w:after="60"/>
    </w:pPr>
  </w:style>
  <w:style w:type="paragraph" w:styleId="ListContinue">
    <w:name w:val="List Continue"/>
    <w:basedOn w:val="List"/>
    <w:rsid w:val="000E4DA2"/>
    <w:pPr>
      <w:ind w:firstLine="0"/>
    </w:pPr>
  </w:style>
  <w:style w:type="paragraph" w:customStyle="1" w:styleId="ListNote">
    <w:name w:val="List Note"/>
    <w:basedOn w:val="List"/>
    <w:rsid w:val="000E4DA2"/>
    <w:pPr>
      <w:pBdr>
        <w:top w:val="single" w:sz="6" w:space="2" w:color="918585"/>
        <w:bottom w:val="single" w:sz="6" w:space="2" w:color="918585"/>
      </w:pBdr>
      <w:tabs>
        <w:tab w:val="left" w:pos="1021"/>
      </w:tabs>
      <w:ind w:firstLine="0"/>
    </w:pPr>
  </w:style>
  <w:style w:type="paragraph" w:customStyle="1" w:styleId="Warning">
    <w:name w:val="Warning"/>
    <w:basedOn w:val="BodyText"/>
    <w:rsid w:val="000E4DA2"/>
    <w:pPr>
      <w:shd w:val="clear" w:color="auto" w:fill="D9D9D9"/>
      <w:tabs>
        <w:tab w:val="left" w:pos="992"/>
      </w:tabs>
      <w:ind w:left="119" w:right="119"/>
    </w:pPr>
    <w:rPr>
      <w:sz w:val="20"/>
    </w:rPr>
  </w:style>
  <w:style w:type="paragraph" w:customStyle="1" w:styleId="MarginIcons">
    <w:name w:val="Margin Icons"/>
    <w:basedOn w:val="BodyText"/>
    <w:rsid w:val="000E4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DA2"/>
    <w:rPr>
      <w:rFonts w:ascii="Courier New" w:hAnsi="Courier New"/>
    </w:rPr>
  </w:style>
  <w:style w:type="paragraph" w:customStyle="1" w:styleId="NoteBullet">
    <w:name w:val="Note Bullet"/>
    <w:basedOn w:val="Note"/>
    <w:rsid w:val="000E4DA2"/>
    <w:pPr>
      <w:tabs>
        <w:tab w:val="clear" w:pos="680"/>
      </w:tabs>
      <w:spacing w:before="60" w:after="60"/>
    </w:pPr>
  </w:style>
  <w:style w:type="paragraph" w:customStyle="1" w:styleId="SubHeading2">
    <w:name w:val="SubHeading2"/>
    <w:basedOn w:val="HeadingBase"/>
    <w:rsid w:val="000E4DA2"/>
    <w:pPr>
      <w:spacing w:before="240" w:after="60"/>
    </w:pPr>
    <w:rPr>
      <w:sz w:val="20"/>
    </w:rPr>
  </w:style>
  <w:style w:type="paragraph" w:customStyle="1" w:styleId="SubHeading1">
    <w:name w:val="SubHeading1"/>
    <w:basedOn w:val="HeadingBase"/>
    <w:rsid w:val="000E4DA2"/>
    <w:pPr>
      <w:spacing w:before="240" w:after="60"/>
    </w:pPr>
    <w:rPr>
      <w:color w:val="918585"/>
      <w:sz w:val="22"/>
    </w:rPr>
  </w:style>
  <w:style w:type="paragraph" w:customStyle="1" w:styleId="SideHeading">
    <w:name w:val="Side Heading"/>
    <w:basedOn w:val="HeadingBase"/>
    <w:rsid w:val="000E4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DA2"/>
    <w:pPr>
      <w:tabs>
        <w:tab w:val="num" w:pos="360"/>
      </w:tabs>
    </w:pPr>
  </w:style>
  <w:style w:type="paragraph" w:styleId="PlainText">
    <w:name w:val="Plain Text"/>
    <w:basedOn w:val="Normal"/>
    <w:link w:val="PlainTextChar"/>
    <w:rsid w:val="000E4DA2"/>
    <w:rPr>
      <w:sz w:val="20"/>
    </w:rPr>
  </w:style>
  <w:style w:type="character" w:customStyle="1" w:styleId="PlainTextChar">
    <w:name w:val="Plain Text Char"/>
    <w:basedOn w:val="DefaultParagraphFont"/>
    <w:link w:val="PlainText"/>
    <w:rsid w:val="000E4DA2"/>
    <w:rPr>
      <w:rFonts w:ascii="Courier New" w:eastAsia="Times New Roman" w:hAnsi="Courier New" w:cs="Times New Roman"/>
      <w:sz w:val="20"/>
      <w:szCs w:val="20"/>
      <w:lang w:eastAsia="en-US"/>
    </w:rPr>
  </w:style>
  <w:style w:type="character" w:customStyle="1" w:styleId="MenuOption">
    <w:name w:val="Menu Option"/>
    <w:basedOn w:val="DefaultParagraphFont"/>
    <w:rsid w:val="000E4DA2"/>
    <w:rPr>
      <w:b/>
      <w:smallCaps/>
    </w:rPr>
  </w:style>
  <w:style w:type="paragraph" w:customStyle="1" w:styleId="TableListNumber">
    <w:name w:val="Table List Number"/>
    <w:basedOn w:val="ListNumber"/>
    <w:rsid w:val="000E4DA2"/>
    <w:pPr>
      <w:numPr>
        <w:numId w:val="0"/>
      </w:numPr>
    </w:pPr>
  </w:style>
  <w:style w:type="paragraph" w:styleId="TOC4">
    <w:name w:val="toc 4"/>
    <w:basedOn w:val="TOCBase"/>
    <w:next w:val="Normal"/>
    <w:semiHidden/>
    <w:rsid w:val="000E4DA2"/>
    <w:pPr>
      <w:tabs>
        <w:tab w:val="right" w:leader="dot" w:pos="9071"/>
      </w:tabs>
      <w:ind w:left="1701"/>
    </w:pPr>
  </w:style>
  <w:style w:type="paragraph" w:customStyle="1" w:styleId="ListAlpha">
    <w:name w:val="List Alpha"/>
    <w:basedOn w:val="List"/>
    <w:rsid w:val="000E4DA2"/>
    <w:pPr>
      <w:numPr>
        <w:numId w:val="9"/>
      </w:numPr>
    </w:pPr>
  </w:style>
  <w:style w:type="paragraph" w:customStyle="1" w:styleId="ListAlpha2">
    <w:name w:val="List Alpha 2"/>
    <w:basedOn w:val="List2"/>
    <w:rsid w:val="000E4DA2"/>
    <w:pPr>
      <w:numPr>
        <w:numId w:val="8"/>
      </w:numPr>
    </w:pPr>
  </w:style>
  <w:style w:type="paragraph" w:styleId="List2">
    <w:name w:val="List 2"/>
    <w:basedOn w:val="BodyText"/>
    <w:rsid w:val="000E4DA2"/>
    <w:pPr>
      <w:tabs>
        <w:tab w:val="left" w:pos="680"/>
      </w:tabs>
      <w:spacing w:before="60" w:after="60"/>
      <w:ind w:left="680" w:hanging="340"/>
    </w:pPr>
  </w:style>
  <w:style w:type="paragraph" w:styleId="List3">
    <w:name w:val="List 3"/>
    <w:basedOn w:val="BodyText"/>
    <w:rsid w:val="000E4DA2"/>
    <w:pPr>
      <w:tabs>
        <w:tab w:val="left" w:pos="1021"/>
      </w:tabs>
      <w:spacing w:before="60" w:after="60"/>
      <w:ind w:left="1020" w:hanging="340"/>
    </w:pPr>
  </w:style>
  <w:style w:type="paragraph" w:styleId="List4">
    <w:name w:val="List 4"/>
    <w:basedOn w:val="BodyText"/>
    <w:rsid w:val="000E4DA2"/>
    <w:pPr>
      <w:tabs>
        <w:tab w:val="left" w:pos="1361"/>
      </w:tabs>
      <w:spacing w:before="60" w:after="60"/>
      <w:ind w:left="1361" w:hanging="340"/>
    </w:pPr>
  </w:style>
  <w:style w:type="paragraph" w:styleId="List5">
    <w:name w:val="List 5"/>
    <w:basedOn w:val="BodyText"/>
    <w:rsid w:val="000E4DA2"/>
    <w:pPr>
      <w:tabs>
        <w:tab w:val="left" w:pos="1701"/>
      </w:tabs>
      <w:spacing w:before="60" w:after="60"/>
      <w:ind w:left="1701" w:hanging="340"/>
    </w:pPr>
  </w:style>
  <w:style w:type="paragraph" w:styleId="ListBullet3">
    <w:name w:val="List Bullet 3"/>
    <w:basedOn w:val="List3"/>
    <w:rsid w:val="000E4DA2"/>
    <w:pPr>
      <w:numPr>
        <w:numId w:val="14"/>
      </w:numPr>
      <w:tabs>
        <w:tab w:val="clear" w:pos="1021"/>
      </w:tabs>
      <w:ind w:left="1037" w:hanging="357"/>
    </w:pPr>
  </w:style>
  <w:style w:type="paragraph" w:styleId="ListBullet4">
    <w:name w:val="List Bullet 4"/>
    <w:basedOn w:val="List4"/>
    <w:rsid w:val="000E4DA2"/>
    <w:pPr>
      <w:numPr>
        <w:numId w:val="3"/>
      </w:numPr>
      <w:tabs>
        <w:tab w:val="clear" w:pos="1361"/>
      </w:tabs>
    </w:pPr>
  </w:style>
  <w:style w:type="paragraph" w:styleId="ListBullet5">
    <w:name w:val="List Bullet 5"/>
    <w:basedOn w:val="List5"/>
    <w:rsid w:val="000E4DA2"/>
    <w:pPr>
      <w:numPr>
        <w:numId w:val="4"/>
      </w:numPr>
    </w:pPr>
  </w:style>
  <w:style w:type="paragraph" w:styleId="ListContinue2">
    <w:name w:val="List Continue 2"/>
    <w:basedOn w:val="List2"/>
    <w:rsid w:val="000E4DA2"/>
    <w:pPr>
      <w:ind w:firstLine="0"/>
    </w:pPr>
  </w:style>
  <w:style w:type="paragraph" w:styleId="ListContinue3">
    <w:name w:val="List Continue 3"/>
    <w:basedOn w:val="List3"/>
    <w:rsid w:val="000E4DA2"/>
    <w:pPr>
      <w:ind w:left="1021" w:firstLine="0"/>
    </w:pPr>
  </w:style>
  <w:style w:type="paragraph" w:styleId="ListContinue4">
    <w:name w:val="List Continue 4"/>
    <w:basedOn w:val="List4"/>
    <w:rsid w:val="000E4DA2"/>
    <w:pPr>
      <w:ind w:firstLine="0"/>
    </w:pPr>
  </w:style>
  <w:style w:type="paragraph" w:styleId="ListContinue5">
    <w:name w:val="List Continue 5"/>
    <w:basedOn w:val="List5"/>
    <w:rsid w:val="000E4DA2"/>
    <w:pPr>
      <w:ind w:firstLine="0"/>
    </w:pPr>
  </w:style>
  <w:style w:type="paragraph" w:styleId="ListNumber3">
    <w:name w:val="List Number 3"/>
    <w:basedOn w:val="List3"/>
    <w:rsid w:val="000E4DA2"/>
    <w:pPr>
      <w:numPr>
        <w:numId w:val="5"/>
      </w:numPr>
    </w:pPr>
  </w:style>
  <w:style w:type="paragraph" w:styleId="ListNumber4">
    <w:name w:val="List Number 4"/>
    <w:basedOn w:val="List4"/>
    <w:rsid w:val="000E4DA2"/>
    <w:pPr>
      <w:numPr>
        <w:numId w:val="6"/>
      </w:numPr>
    </w:pPr>
  </w:style>
  <w:style w:type="paragraph" w:styleId="ListNumber5">
    <w:name w:val="List Number 5"/>
    <w:basedOn w:val="List5"/>
    <w:rsid w:val="000E4DA2"/>
    <w:pPr>
      <w:numPr>
        <w:numId w:val="7"/>
      </w:numPr>
    </w:pPr>
  </w:style>
  <w:style w:type="paragraph" w:styleId="BlockText">
    <w:name w:val="Block Text"/>
    <w:basedOn w:val="Normal"/>
    <w:rsid w:val="000E4DA2"/>
    <w:pPr>
      <w:spacing w:after="120"/>
      <w:ind w:left="1440" w:right="1440"/>
    </w:pPr>
  </w:style>
  <w:style w:type="character" w:customStyle="1" w:styleId="Subscript">
    <w:name w:val="Subscript"/>
    <w:basedOn w:val="DefaultParagraphFont"/>
    <w:rsid w:val="000E4DA2"/>
    <w:rPr>
      <w:sz w:val="16"/>
      <w:vertAlign w:val="subscript"/>
    </w:rPr>
  </w:style>
  <w:style w:type="character" w:customStyle="1" w:styleId="Superscript">
    <w:name w:val="Superscript"/>
    <w:basedOn w:val="DefaultParagraphFont"/>
    <w:rsid w:val="000E4DA2"/>
    <w:rPr>
      <w:sz w:val="16"/>
      <w:vertAlign w:val="superscript"/>
    </w:rPr>
  </w:style>
  <w:style w:type="character" w:customStyle="1" w:styleId="Symbols">
    <w:name w:val="Symbols"/>
    <w:basedOn w:val="DefaultParagraphFont"/>
    <w:rsid w:val="000E4DA2"/>
    <w:rPr>
      <w:rFonts w:ascii="Symbol" w:hAnsi="Symbol"/>
    </w:rPr>
  </w:style>
  <w:style w:type="character" w:customStyle="1" w:styleId="MenuOptions">
    <w:name w:val="Menu Options"/>
    <w:basedOn w:val="DefaultParagraphFont"/>
    <w:rsid w:val="000E4DA2"/>
    <w:rPr>
      <w:rFonts w:ascii="Arial Narrow" w:hAnsi="Arial Narrow"/>
      <w:smallCaps/>
    </w:rPr>
  </w:style>
  <w:style w:type="character" w:customStyle="1" w:styleId="Buttons">
    <w:name w:val="Buttons"/>
    <w:basedOn w:val="DefaultParagraphFont"/>
    <w:rsid w:val="000E4DA2"/>
    <w:rPr>
      <w:b/>
    </w:rPr>
  </w:style>
  <w:style w:type="character" w:customStyle="1" w:styleId="Underlined">
    <w:name w:val="Underlined"/>
    <w:basedOn w:val="DefaultParagraphFont"/>
    <w:rsid w:val="000E4DA2"/>
    <w:rPr>
      <w:u w:val="single"/>
    </w:rPr>
  </w:style>
  <w:style w:type="paragraph" w:customStyle="1" w:styleId="TableBodyTextRight">
    <w:name w:val="Table Body Text Right"/>
    <w:basedOn w:val="TableBodyText"/>
    <w:rsid w:val="000E4DA2"/>
    <w:pPr>
      <w:widowControl w:val="0"/>
      <w:autoSpaceDE w:val="0"/>
      <w:autoSpaceDN w:val="0"/>
      <w:adjustRightInd w:val="0"/>
      <w:jc w:val="right"/>
    </w:pPr>
    <w:rPr>
      <w:rFonts w:cs="Arial"/>
      <w:szCs w:val="18"/>
    </w:rPr>
  </w:style>
  <w:style w:type="paragraph" w:customStyle="1" w:styleId="CopyrightText">
    <w:name w:val="Copyright Text"/>
    <w:basedOn w:val="BodyText"/>
    <w:rsid w:val="000E4DA2"/>
    <w:rPr>
      <w:sz w:val="18"/>
    </w:rPr>
  </w:style>
  <w:style w:type="paragraph" w:customStyle="1" w:styleId="BodySmallRight">
    <w:name w:val="Body Small Right"/>
    <w:basedOn w:val="BodyTextRight"/>
    <w:rsid w:val="000E4DA2"/>
    <w:rPr>
      <w:sz w:val="18"/>
      <w:szCs w:val="18"/>
    </w:rPr>
  </w:style>
  <w:style w:type="paragraph" w:customStyle="1" w:styleId="MarginEdition">
    <w:name w:val="Margin Edition"/>
    <w:basedOn w:val="MarginNote"/>
    <w:rsid w:val="000E4DA2"/>
    <w:pPr>
      <w:spacing w:before="0" w:after="0"/>
    </w:pPr>
    <w:rPr>
      <w:rFonts w:ascii="Times New Roman" w:hAnsi="Times New Roman"/>
      <w:color w:val="999999"/>
    </w:rPr>
  </w:style>
  <w:style w:type="paragraph" w:customStyle="1" w:styleId="Spacer">
    <w:name w:val="Spacer"/>
    <w:basedOn w:val="Normal"/>
    <w:rsid w:val="000E4DA2"/>
    <w:rPr>
      <w:sz w:val="2"/>
      <w:szCs w:val="2"/>
    </w:rPr>
  </w:style>
  <w:style w:type="character" w:customStyle="1" w:styleId="Small">
    <w:name w:val="Small"/>
    <w:basedOn w:val="DefaultParagraphFont"/>
    <w:rsid w:val="000E4DA2"/>
    <w:rPr>
      <w:sz w:val="16"/>
    </w:rPr>
  </w:style>
  <w:style w:type="paragraph" w:customStyle="1" w:styleId="WideTable">
    <w:name w:val="Wide Table"/>
    <w:basedOn w:val="Normal"/>
    <w:rsid w:val="000E4DA2"/>
    <w:pPr>
      <w:ind w:left="-1418"/>
    </w:pPr>
    <w:rPr>
      <w:sz w:val="2"/>
      <w:szCs w:val="2"/>
    </w:rPr>
  </w:style>
  <w:style w:type="character" w:styleId="PageNumber">
    <w:name w:val="page number"/>
    <w:basedOn w:val="DefaultParagraphFont"/>
    <w:rsid w:val="000E4DA2"/>
  </w:style>
  <w:style w:type="paragraph" w:styleId="Quote">
    <w:name w:val="Quote"/>
    <w:basedOn w:val="Heading1"/>
    <w:link w:val="QuoteChar"/>
    <w:qFormat/>
    <w:rsid w:val="000E4DA2"/>
    <w:rPr>
      <w:b w:val="0"/>
      <w:sz w:val="72"/>
      <w:szCs w:val="72"/>
      <w:lang w:val="en-NZ"/>
    </w:rPr>
  </w:style>
  <w:style w:type="character" w:customStyle="1" w:styleId="QuoteChar">
    <w:name w:val="Quote Char"/>
    <w:basedOn w:val="DefaultParagraphFont"/>
    <w:link w:val="Quote"/>
    <w:rsid w:val="000E4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DA2"/>
    <w:pPr>
      <w:pageBreakBefore/>
    </w:pPr>
  </w:style>
  <w:style w:type="paragraph" w:customStyle="1" w:styleId="Border">
    <w:name w:val="Border"/>
    <w:basedOn w:val="Normal"/>
    <w:qFormat/>
    <w:rsid w:val="000E4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DA2"/>
    <w:rPr>
      <w:b/>
      <w:bCs/>
      <w:i/>
      <w:iCs/>
      <w:color w:val="auto"/>
    </w:rPr>
  </w:style>
  <w:style w:type="paragraph" w:styleId="IntenseQuote">
    <w:name w:val="Intense Quote"/>
    <w:basedOn w:val="Normal"/>
    <w:next w:val="Normal"/>
    <w:link w:val="IntenseQuoteChar"/>
    <w:uiPriority w:val="30"/>
    <w:qFormat/>
    <w:rsid w:val="000E4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DA2"/>
    <w:rPr>
      <w:smallCaps/>
      <w:color w:val="auto"/>
      <w:u w:val="single"/>
    </w:rPr>
  </w:style>
  <w:style w:type="character" w:styleId="IntenseReference">
    <w:name w:val="Intense Reference"/>
    <w:basedOn w:val="DefaultParagraphFont"/>
    <w:uiPriority w:val="32"/>
    <w:qFormat/>
    <w:rsid w:val="000E4DA2"/>
    <w:rPr>
      <w:b/>
      <w:bCs/>
      <w:smallCaps/>
      <w:color w:val="auto"/>
      <w:spacing w:val="5"/>
      <w:u w:val="single"/>
    </w:rPr>
  </w:style>
  <w:style w:type="paragraph" w:customStyle="1" w:styleId="2ColumnHeading">
    <w:name w:val="2Column Heading"/>
    <w:basedOn w:val="BodyText"/>
    <w:qFormat/>
    <w:rsid w:val="000E4DA2"/>
    <w:pPr>
      <w:spacing w:after="60"/>
      <w:ind w:left="-2268"/>
    </w:pPr>
    <w:rPr>
      <w:b/>
    </w:rPr>
  </w:style>
  <w:style w:type="paragraph" w:customStyle="1" w:styleId="Heading1TOC">
    <w:name w:val="Heading1 TOC"/>
    <w:basedOn w:val="Normal"/>
    <w:qFormat/>
    <w:rsid w:val="000E4DA2"/>
    <w:pPr>
      <w:spacing w:before="240" w:after="120"/>
    </w:pPr>
    <w:rPr>
      <w:rFonts w:ascii="Times New Roman" w:hAnsi="Times New Roman"/>
      <w:b/>
      <w:sz w:val="32"/>
    </w:rPr>
  </w:style>
  <w:style w:type="paragraph" w:customStyle="1" w:styleId="Heading2TOC">
    <w:name w:val="Heading2 TOC"/>
    <w:basedOn w:val="Normal"/>
    <w:qFormat/>
    <w:rsid w:val="000E4DA2"/>
    <w:pPr>
      <w:spacing w:before="240" w:after="60"/>
    </w:pPr>
    <w:rPr>
      <w:rFonts w:ascii="Times New Roman" w:hAnsi="Times New Roman"/>
      <w:b/>
      <w:sz w:val="28"/>
    </w:rPr>
  </w:style>
  <w:style w:type="character" w:customStyle="1" w:styleId="Underline">
    <w:name w:val="Underline"/>
    <w:basedOn w:val="DefaultParagraphFont"/>
    <w:qFormat/>
    <w:rsid w:val="000E4DA2"/>
    <w:rPr>
      <w:u w:val="single"/>
    </w:rPr>
  </w:style>
  <w:style w:type="character" w:customStyle="1" w:styleId="BoldandItalics">
    <w:name w:val="Bold and Italics"/>
    <w:qFormat/>
    <w:rsid w:val="000E4DA2"/>
    <w:rPr>
      <w:b/>
      <w:i/>
      <w:u w:val="none"/>
    </w:rPr>
  </w:style>
  <w:style w:type="paragraph" w:styleId="BalloonText">
    <w:name w:val="Balloon Text"/>
    <w:basedOn w:val="Normal"/>
    <w:link w:val="BalloonTextChar"/>
    <w:rsid w:val="000E4DA2"/>
    <w:rPr>
      <w:rFonts w:ascii="Tahoma" w:hAnsi="Tahoma" w:cs="Tahoma"/>
      <w:sz w:val="16"/>
      <w:szCs w:val="16"/>
    </w:rPr>
  </w:style>
  <w:style w:type="character" w:customStyle="1" w:styleId="BalloonTextChar">
    <w:name w:val="Balloon Text Char"/>
    <w:basedOn w:val="DefaultParagraphFont"/>
    <w:link w:val="BalloonText"/>
    <w:rsid w:val="000E4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D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DA2"/>
    <w:rPr>
      <w:b/>
      <w:color w:val="660033"/>
      <w:spacing w:val="0"/>
    </w:rPr>
  </w:style>
  <w:style w:type="paragraph" w:customStyle="1" w:styleId="Nameditemlist">
    <w:name w:val="Named item list"/>
    <w:basedOn w:val="BodyText"/>
    <w:qFormat/>
    <w:rsid w:val="000E4DA2"/>
    <w:pPr>
      <w:tabs>
        <w:tab w:val="left" w:pos="2835"/>
      </w:tabs>
      <w:ind w:left="2835" w:hanging="2835"/>
    </w:pPr>
  </w:style>
  <w:style w:type="paragraph" w:customStyle="1" w:styleId="BodyTextnopadding">
    <w:name w:val="Body Text no padding"/>
    <w:basedOn w:val="BodyText"/>
    <w:qFormat/>
    <w:rsid w:val="000E4DA2"/>
    <w:pPr>
      <w:spacing w:before="0" w:after="0"/>
    </w:pPr>
  </w:style>
  <w:style w:type="paragraph" w:customStyle="1" w:styleId="BodyTextBold">
    <w:name w:val="Body Text Bold"/>
    <w:basedOn w:val="BodyText"/>
    <w:qFormat/>
    <w:rsid w:val="000E4DA2"/>
    <w:rPr>
      <w:b/>
    </w:rPr>
  </w:style>
  <w:style w:type="character" w:styleId="Hyperlink">
    <w:name w:val="Hyperlink"/>
    <w:basedOn w:val="DefaultParagraphFont"/>
    <w:uiPriority w:val="99"/>
    <w:unhideWhenUsed/>
    <w:rsid w:val="007E7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1574</Words>
  <Characters>9966</Characters>
  <Application>Microsoft Office Word</Application>
  <DocSecurity>0</DocSecurity>
  <Lines>293</Lines>
  <Paragraphs>155</Paragraphs>
  <ScaleCrop>false</ScaleCrop>
  <Company>Author-it Software Corporation Ltd.</Company>
  <LinksUpToDate>false</LinksUpToDate>
  <CharactersWithSpaces>11385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TLIC3028 Operate and monitor a heritage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