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22865" w:rsidP="0072286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TLIC3027 Stable a motive power unit</w:t>
      </w:r>
      <w:r>
        <w:fldChar w:fldCharType="end"/>
      </w:r>
    </w:p>
    <w:p w:rsidR="00722865" w:rsidP="00722865">
      <w:pPr>
        <w:pStyle w:val="Version"/>
        <w:sectPr w:rsidSect="009A718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9A718C" w:rsidP="009A718C">
      <w:pPr>
        <w:pStyle w:val="SuperHeading"/>
      </w:pPr>
      <w:r w:rsidRPr="009A718C">
        <w:t>TLIC3027 Stable a motive power unit</w:t>
      </w:r>
    </w:p>
    <w:p w:rsidR="00000000" w:rsidRPr="009A718C" w:rsidP="009A718C">
      <w:pPr>
        <w:pStyle w:val="Heading1"/>
      </w:pPr>
      <w:bookmarkStart w:id="1" w:name="O_1196460"/>
      <w:bookmarkEnd w:id="1"/>
      <w:r w:rsidRPr="009A718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A718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718C" w:rsidP="009A718C">
            <w:pPr>
              <w:pStyle w:val="BodyText"/>
            </w:pPr>
            <w:r w:rsidRPr="009A718C">
              <w:rPr>
                <w:rStyle w:val="SpecialBold"/>
              </w:rPr>
              <w:t>Release 2.</w:t>
            </w:r>
            <w:r w:rsidRPr="009A718C">
              <w:t xml:space="preserve"> This is the second release of this unit of competency in the TLI Transport and Logistics Training Package:</w:t>
            </w:r>
          </w:p>
          <w:p w:rsidR="00000000" w:rsidRPr="009A718C" w:rsidP="009A718C">
            <w:pPr>
              <w:pStyle w:val="ListBullet"/>
            </w:pPr>
            <w:r w:rsidRPr="009A718C">
              <w:t>Minor terminology changes to Performance Criteria</w:t>
            </w:r>
          </w:p>
          <w:p w:rsidR="00000000" w:rsidRPr="009A718C" w:rsidP="009A718C">
            <w:pPr>
              <w:pStyle w:val="ListBullet"/>
            </w:pPr>
            <w:r w:rsidRPr="009A718C">
              <w:t>Minor statement changes in Performance Evidence</w:t>
            </w:r>
          </w:p>
          <w:p w:rsidR="00000000" w:rsidRPr="009A718C" w:rsidP="009A718C">
            <w:pPr>
              <w:pStyle w:val="ListBullet"/>
            </w:pPr>
            <w:r w:rsidRPr="009A718C">
              <w:t>Minor statement ch</w:t>
            </w:r>
            <w:r w:rsidRPr="009A718C">
              <w:t>anges in Knowledge Evidence</w:t>
            </w:r>
          </w:p>
          <w:p w:rsidR="00000000" w:rsidP="009A718C">
            <w:pPr>
              <w:pStyle w:val="ListBullet"/>
              <w:rPr>
                <w:lang w:val="en-NZ"/>
              </w:rPr>
            </w:pPr>
            <w:r w:rsidRPr="009A718C">
              <w:t>Minor statement changes in Assessment Conditions.</w:t>
            </w:r>
          </w:p>
        </w:tc>
      </w:tr>
      <w:tr w:rsidTr="009A718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718C" w:rsidP="009A718C">
            <w:pPr>
              <w:pStyle w:val="BodyText"/>
            </w:pPr>
            <w:r w:rsidRPr="009A718C">
              <w:rPr>
                <w:rStyle w:val="SpecialBold"/>
              </w:rPr>
              <w:t>Release 1.</w:t>
            </w:r>
            <w:r w:rsidRPr="009A718C">
              <w:t xml:space="preserve"> This is the first release of this unit of competency in the TLI Transport and Logistics Training Package.</w:t>
            </w:r>
          </w:p>
        </w:tc>
      </w:tr>
    </w:tbl>
    <w:p w:rsidR="00722865" w:rsidP="009A718C">
      <w:pPr>
        <w:pStyle w:val="NoPaddingFontSize1"/>
      </w:pPr>
    </w:p>
    <w:p w:rsidR="00722865" w:rsidP="009A718C">
      <w:pPr>
        <w:pStyle w:val="NoPaddingFontSize1"/>
      </w:pPr>
    </w:p>
    <w:p w:rsidR="00000000" w:rsidRPr="009A718C" w:rsidP="009A718C">
      <w:pPr>
        <w:pStyle w:val="Heading1"/>
      </w:pPr>
      <w:bookmarkStart w:id="2" w:name="O_1196459"/>
      <w:bookmarkEnd w:id="2"/>
      <w:r w:rsidRPr="009A718C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A718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718C" w:rsidP="009A718C">
            <w:pPr>
              <w:pStyle w:val="BodyText"/>
            </w:pPr>
            <w:r w:rsidRPr="009A718C">
              <w:t>This unit involves the ski</w:t>
            </w:r>
            <w:r w:rsidRPr="009A718C">
              <w:t>lls and knowledge required to stable a motive power unit in accordance with relevant workplace procedures, rail regulations and codes of practice.</w:t>
            </w:r>
          </w:p>
          <w:p w:rsidR="00000000" w:rsidRPr="009A718C" w:rsidP="009A718C">
            <w:pPr>
              <w:pStyle w:val="BodyText"/>
            </w:pPr>
            <w:r w:rsidRPr="009A718C">
              <w:t>It includes determining the required stabling location, shunting and securing the train, stabling and securing the motive power unit, carrying out all required post-operational checks and completing post-operational paperwork.</w:t>
            </w:r>
          </w:p>
          <w:p w:rsidR="00000000" w:rsidRPr="009A718C" w:rsidP="009A718C">
            <w:pPr>
              <w:pStyle w:val="BodyText"/>
            </w:pPr>
            <w:r w:rsidRPr="009A718C">
              <w:t>People achieving competence i</w:t>
            </w:r>
            <w:r w:rsidRPr="009A718C">
              <w:t>n this unit will need to fulfil the applicable state/territory legislated rail safety requirements and to comply with relevant codes of practice and/or guidelines.</w:t>
            </w:r>
          </w:p>
          <w:p w:rsidR="00000000" w:rsidRPr="009A718C" w:rsidP="009A718C">
            <w:pPr>
              <w:pStyle w:val="BodyText"/>
            </w:pPr>
            <w:r w:rsidRPr="009A718C">
              <w:t xml:space="preserve">Work is performed without supervision, generally within a team environment. It involves the </w:t>
            </w:r>
            <w:r w:rsidRPr="009A718C">
              <w:t>application of routine operational principles and procedures when stabling and securing a motive power unit, across a variety of operational contexts in the Australian rail system.</w:t>
            </w:r>
          </w:p>
          <w:p w:rsidR="00000000" w:rsidRPr="009A718C" w:rsidP="009A718C">
            <w:pPr>
              <w:pStyle w:val="BodyText"/>
            </w:pPr>
            <w:r w:rsidRPr="009A718C">
              <w:t xml:space="preserve">No licensing, legislative or certification requirements apply to this unit </w:t>
            </w:r>
            <w:r w:rsidRPr="009A718C">
              <w:t>at the time of publication.</w:t>
            </w:r>
          </w:p>
        </w:tc>
      </w:tr>
    </w:tbl>
    <w:p w:rsidR="00722865" w:rsidP="009A718C">
      <w:pPr>
        <w:pStyle w:val="NoPaddingFontSize1"/>
      </w:pPr>
    </w:p>
    <w:p w:rsidR="00722865" w:rsidP="009A718C">
      <w:pPr>
        <w:pStyle w:val="NoPaddingFontSize1"/>
      </w:pPr>
    </w:p>
    <w:p w:rsidR="00000000" w:rsidRPr="009A718C" w:rsidP="009A718C">
      <w:pPr>
        <w:pStyle w:val="Heading1"/>
      </w:pPr>
      <w:bookmarkStart w:id="3" w:name="O_1196458"/>
      <w:bookmarkEnd w:id="3"/>
      <w:r w:rsidRPr="009A718C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A718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718C" w:rsidP="009A718C">
            <w:pPr>
              <w:pStyle w:val="BodyText"/>
            </w:pPr>
            <w:r w:rsidRPr="009A718C">
              <w:t>Not applicable.</w:t>
            </w:r>
          </w:p>
        </w:tc>
      </w:tr>
    </w:tbl>
    <w:p w:rsidR="00722865" w:rsidP="009A718C">
      <w:pPr>
        <w:pStyle w:val="NoPaddingFontSize1"/>
      </w:pPr>
    </w:p>
    <w:p w:rsidR="00722865" w:rsidP="009A718C">
      <w:pPr>
        <w:pStyle w:val="NoPaddingFontSize1"/>
      </w:pPr>
    </w:p>
    <w:p w:rsidR="00000000" w:rsidRPr="009A718C" w:rsidP="009A718C">
      <w:pPr>
        <w:pStyle w:val="Heading1"/>
      </w:pPr>
      <w:bookmarkStart w:id="4" w:name="O_1196457"/>
      <w:bookmarkEnd w:id="4"/>
      <w:r w:rsidRPr="009A718C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A718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718C" w:rsidP="009A718C">
            <w:pPr>
              <w:pStyle w:val="BodyText"/>
            </w:pPr>
            <w:r w:rsidRPr="009A718C">
              <w:t>C – Vehicle Operation.</w:t>
            </w:r>
          </w:p>
        </w:tc>
      </w:tr>
    </w:tbl>
    <w:p w:rsidR="00722865" w:rsidP="009A718C">
      <w:pPr>
        <w:pStyle w:val="NoPaddingFontSize1"/>
      </w:pPr>
    </w:p>
    <w:p w:rsidR="00722865" w:rsidP="009A718C">
      <w:pPr>
        <w:pStyle w:val="NoPaddingFontSize1"/>
      </w:pPr>
    </w:p>
    <w:p w:rsidR="00000000" w:rsidRPr="009A718C" w:rsidP="009A718C">
      <w:pPr>
        <w:pStyle w:val="Heading1"/>
      </w:pPr>
      <w:bookmarkStart w:id="5" w:name="O_1196456"/>
      <w:bookmarkEnd w:id="5"/>
      <w:r w:rsidRPr="009A718C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A718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718C" w:rsidP="009A718C">
            <w:pPr>
              <w:pStyle w:val="BodyText"/>
            </w:pPr>
            <w:r w:rsidRPr="009A718C">
              <w:t>Rail sector.</w:t>
            </w:r>
          </w:p>
        </w:tc>
      </w:tr>
    </w:tbl>
    <w:p w:rsidR="00722865" w:rsidP="009A718C">
      <w:pPr>
        <w:pStyle w:val="NoPaddingFontSize1"/>
      </w:pPr>
    </w:p>
    <w:p w:rsidR="00722865" w:rsidP="009A718C">
      <w:pPr>
        <w:pStyle w:val="NoPaddingFontSize1"/>
      </w:pPr>
    </w:p>
    <w:p w:rsidR="00000000" w:rsidRPr="009A718C" w:rsidP="009A718C">
      <w:pPr>
        <w:pStyle w:val="Heading1"/>
      </w:pPr>
      <w:bookmarkStart w:id="6" w:name="O_1196455"/>
      <w:bookmarkEnd w:id="6"/>
      <w:r w:rsidRPr="009A718C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41"/>
        <w:gridCol w:w="2299"/>
        <w:gridCol w:w="566"/>
        <w:gridCol w:w="5990"/>
      </w:tblGrid>
      <w:tr w:rsidTr="0072286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718C" w:rsidP="009A718C">
            <w:pPr>
              <w:pStyle w:val="BodyText"/>
            </w:pPr>
            <w:r w:rsidRPr="009A718C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18C">
            <w:pPr>
              <w:pStyle w:val="BodyText"/>
              <w:rPr>
                <w:lang w:val="en-NZ"/>
              </w:rPr>
            </w:pPr>
            <w:r w:rsidRPr="009A718C">
              <w:rPr>
                <w:rStyle w:val="SpecialBold"/>
              </w:rPr>
              <w:t>PERFORMANCE CRITERIA</w:t>
            </w:r>
          </w:p>
        </w:tc>
      </w:tr>
      <w:tr w:rsidTr="0072286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18C">
            <w:pPr>
              <w:pStyle w:val="BodyText"/>
              <w:rPr>
                <w:lang w:val="en-NZ"/>
              </w:rPr>
            </w:pPr>
            <w:r w:rsidRPr="009A718C">
              <w:t>Elements describe the 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18C">
            <w:pPr>
              <w:pStyle w:val="BodyText"/>
              <w:rPr>
                <w:lang w:val="en-NZ"/>
              </w:rPr>
            </w:pPr>
            <w:r w:rsidRPr="009A718C">
              <w:t>Performance criteria describe the performance needed to demonstrate achievement of the element.</w:t>
            </w:r>
          </w:p>
        </w:tc>
      </w:tr>
      <w:tr w:rsidTr="0072286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718C" w:rsidP="009A718C">
            <w:pPr>
              <w:pStyle w:val="BodyText"/>
            </w:pPr>
            <w:r w:rsidRPr="009A718C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718C" w:rsidP="009A718C">
            <w:pPr>
              <w:pStyle w:val="BodyText"/>
            </w:pPr>
            <w:r w:rsidRPr="009A718C">
              <w:rPr>
                <w:rStyle w:val="SpecialBold"/>
              </w:rPr>
              <w:t>Determine stabling location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18C">
            <w:pPr>
              <w:pStyle w:val="BodyText"/>
              <w:rPr>
                <w:lang w:val="en-NZ"/>
              </w:rPr>
            </w:pPr>
            <w:r w:rsidRPr="009A718C">
              <w:rPr>
                <w:rStyle w:val="SpecialBold"/>
              </w:rPr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18C">
            <w:pPr>
              <w:pStyle w:val="BodyText"/>
              <w:rPr>
                <w:lang w:val="en-NZ"/>
              </w:rPr>
            </w:pPr>
            <w:r w:rsidRPr="009A718C">
              <w:t>Contact is made with appropriate personnel to determine planned location for stabling train and/or motive power unit</w:t>
            </w:r>
          </w:p>
        </w:tc>
      </w:tr>
      <w:tr w:rsidTr="0072286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718C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18C">
            <w:pPr>
              <w:pStyle w:val="BodyText"/>
              <w:rPr>
                <w:lang w:val="en-NZ"/>
              </w:rPr>
            </w:pPr>
            <w:r w:rsidRPr="009A718C">
              <w:rPr>
                <w:rStyle w:val="SpecialBold"/>
              </w:rPr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18C">
            <w:pPr>
              <w:pStyle w:val="BodyText"/>
              <w:rPr>
                <w:lang w:val="en-NZ"/>
              </w:rPr>
            </w:pPr>
            <w:r w:rsidRPr="009A718C">
              <w:t>Location is identified and confirmed with appropriate personnel</w:t>
            </w:r>
          </w:p>
        </w:tc>
      </w:tr>
      <w:tr w:rsidTr="0072286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718C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18C">
            <w:pPr>
              <w:pStyle w:val="BodyText"/>
              <w:rPr>
                <w:lang w:val="en-NZ"/>
              </w:rPr>
            </w:pPr>
            <w:r w:rsidRPr="009A718C">
              <w:rPr>
                <w:rStyle w:val="SpecialBold"/>
              </w:rPr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18C">
            <w:pPr>
              <w:pStyle w:val="BodyText"/>
              <w:rPr>
                <w:lang w:val="en-NZ"/>
              </w:rPr>
            </w:pPr>
            <w:r w:rsidRPr="009A718C">
              <w:t>Directions from appropriate personnel are interpreted and followed</w:t>
            </w:r>
          </w:p>
        </w:tc>
      </w:tr>
      <w:tr w:rsidTr="0072286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718C" w:rsidP="009A718C">
            <w:pPr>
              <w:pStyle w:val="BodyText"/>
            </w:pPr>
            <w:r w:rsidRPr="009A718C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718C" w:rsidP="009A718C">
            <w:pPr>
              <w:pStyle w:val="BodyText"/>
            </w:pPr>
            <w:r w:rsidRPr="009A718C">
              <w:rPr>
                <w:rStyle w:val="SpecialBold"/>
              </w:rPr>
              <w:t>Stable motive power unit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18C">
            <w:pPr>
              <w:pStyle w:val="BodyText"/>
              <w:rPr>
                <w:lang w:val="en-NZ"/>
              </w:rPr>
            </w:pPr>
            <w:r w:rsidRPr="009A718C">
              <w:rPr>
                <w:rStyle w:val="SpecialBold"/>
              </w:rPr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18C">
            <w:pPr>
              <w:pStyle w:val="BodyText"/>
              <w:rPr>
                <w:lang w:val="en-NZ"/>
              </w:rPr>
            </w:pPr>
            <w:r w:rsidRPr="009A718C">
              <w:t xml:space="preserve">Train is shunted and secured to prevent roll away in accordance with directions and workplace procedures </w:t>
            </w:r>
          </w:p>
        </w:tc>
      </w:tr>
      <w:tr w:rsidTr="0072286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718C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18C">
            <w:pPr>
              <w:pStyle w:val="BodyText"/>
              <w:rPr>
                <w:lang w:val="en-NZ"/>
              </w:rPr>
            </w:pPr>
            <w:r w:rsidRPr="009A718C">
              <w:rPr>
                <w:rStyle w:val="SpecialBold"/>
              </w:rPr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18C">
            <w:pPr>
              <w:pStyle w:val="BodyText"/>
              <w:rPr>
                <w:lang w:val="en-NZ"/>
              </w:rPr>
            </w:pPr>
            <w:r w:rsidRPr="009A718C">
              <w:t>Motive power unit is stabled as directed</w:t>
            </w:r>
          </w:p>
        </w:tc>
      </w:tr>
      <w:tr w:rsidTr="0072286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718C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18C">
            <w:pPr>
              <w:pStyle w:val="BodyText"/>
              <w:rPr>
                <w:lang w:val="en-NZ"/>
              </w:rPr>
            </w:pPr>
            <w:r w:rsidRPr="009A718C">
              <w:rPr>
                <w:rStyle w:val="SpecialBold"/>
              </w:rPr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18C">
            <w:pPr>
              <w:pStyle w:val="BodyText"/>
              <w:rPr>
                <w:lang w:val="en-NZ"/>
              </w:rPr>
            </w:pPr>
            <w:r w:rsidRPr="009A718C">
              <w:t>Motive power unit is secured to prevent roll away in accordance with directions and workplace procedures</w:t>
            </w:r>
          </w:p>
        </w:tc>
      </w:tr>
      <w:tr w:rsidTr="0072286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718C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18C">
            <w:pPr>
              <w:pStyle w:val="BodyText"/>
              <w:rPr>
                <w:lang w:val="en-NZ"/>
              </w:rPr>
            </w:pPr>
            <w:r w:rsidRPr="009A718C">
              <w:rPr>
                <w:rStyle w:val="SpecialBold"/>
              </w:rPr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18C">
            <w:pPr>
              <w:pStyle w:val="BodyText"/>
              <w:rPr>
                <w:lang w:val="en-NZ"/>
              </w:rPr>
            </w:pPr>
            <w:r w:rsidRPr="009A718C">
              <w:t>Motive power unit is shut down in accordance with manufacturer instructions and workplace procedures</w:t>
            </w:r>
          </w:p>
        </w:tc>
      </w:tr>
      <w:tr w:rsidTr="0072286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718C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18C">
            <w:pPr>
              <w:pStyle w:val="BodyText"/>
              <w:rPr>
                <w:lang w:val="en-NZ"/>
              </w:rPr>
            </w:pPr>
            <w:r w:rsidRPr="009A718C">
              <w:rPr>
                <w:rStyle w:val="SpecialBold"/>
              </w:rPr>
              <w:t>2.5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18C">
            <w:pPr>
              <w:pStyle w:val="BodyText"/>
              <w:rPr>
                <w:lang w:val="en-NZ"/>
              </w:rPr>
            </w:pPr>
            <w:r w:rsidRPr="009A718C">
              <w:t>Cab is secured in accordance with workplace procedures</w:t>
            </w:r>
          </w:p>
        </w:tc>
      </w:tr>
      <w:tr w:rsidTr="0072286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718C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18C">
            <w:pPr>
              <w:pStyle w:val="BodyText"/>
              <w:rPr>
                <w:lang w:val="en-NZ"/>
              </w:rPr>
            </w:pPr>
            <w:r w:rsidRPr="009A718C">
              <w:rPr>
                <w:rStyle w:val="SpecialBold"/>
              </w:rPr>
              <w:t>2.6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18C">
            <w:pPr>
              <w:pStyle w:val="BodyText"/>
              <w:rPr>
                <w:lang w:val="en-NZ"/>
              </w:rPr>
            </w:pPr>
            <w:r w:rsidRPr="009A718C">
              <w:t>Derailers are set in place in accordance with workplace procedures, as required</w:t>
            </w:r>
          </w:p>
        </w:tc>
      </w:tr>
      <w:tr w:rsidTr="0072286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718C" w:rsidP="009A718C">
            <w:pPr>
              <w:pStyle w:val="BodyText"/>
            </w:pPr>
            <w:r w:rsidRPr="009A718C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718C" w:rsidP="009A718C">
            <w:pPr>
              <w:pStyle w:val="BodyText"/>
            </w:pPr>
            <w:r w:rsidRPr="009A718C">
              <w:rPr>
                <w:rStyle w:val="SpecialBold"/>
              </w:rPr>
              <w:t>Carry out post-operational checks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18C">
            <w:pPr>
              <w:pStyle w:val="BodyText"/>
              <w:rPr>
                <w:lang w:val="en-NZ"/>
              </w:rPr>
            </w:pPr>
            <w:r w:rsidRPr="009A718C">
              <w:rPr>
                <w:rStyle w:val="SpecialBold"/>
              </w:rPr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18C">
            <w:pPr>
              <w:pStyle w:val="BodyText"/>
              <w:rPr>
                <w:lang w:val="en-NZ"/>
              </w:rPr>
            </w:pPr>
            <w:r w:rsidRPr="009A718C">
              <w:t>Fuel and fluid levels are checked and required actions taken to rep</w:t>
            </w:r>
            <w:r w:rsidRPr="009A718C">
              <w:t xml:space="preserve">lenish consumables </w:t>
            </w:r>
          </w:p>
        </w:tc>
      </w:tr>
      <w:tr w:rsidTr="0072286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718C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18C">
            <w:pPr>
              <w:pStyle w:val="BodyText"/>
              <w:rPr>
                <w:lang w:val="en-NZ"/>
              </w:rPr>
            </w:pPr>
            <w:r w:rsidRPr="009A718C">
              <w:rPr>
                <w:rStyle w:val="SpecialBold"/>
              </w:rPr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18C">
            <w:pPr>
              <w:pStyle w:val="BodyText"/>
              <w:rPr>
                <w:lang w:val="en-NZ"/>
              </w:rPr>
            </w:pPr>
            <w:r w:rsidRPr="009A718C">
              <w:t>Inspection is made of motive power unit in accordance with workplace procedures</w:t>
            </w:r>
          </w:p>
        </w:tc>
      </w:tr>
      <w:tr w:rsidTr="0072286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718C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18C">
            <w:pPr>
              <w:pStyle w:val="BodyText"/>
              <w:rPr>
                <w:lang w:val="en-NZ"/>
              </w:rPr>
            </w:pPr>
            <w:r w:rsidRPr="009A718C">
              <w:rPr>
                <w:rStyle w:val="SpecialBold"/>
              </w:rPr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18C">
            <w:pPr>
              <w:pStyle w:val="BodyText"/>
              <w:rPr>
                <w:lang w:val="en-NZ"/>
              </w:rPr>
            </w:pPr>
            <w:r w:rsidRPr="009A718C">
              <w:t>Identified faults and defects are fixed and/or reported and recorded in accordance with workplace procedures</w:t>
            </w:r>
          </w:p>
        </w:tc>
      </w:tr>
      <w:tr w:rsidTr="0072286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718C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18C">
            <w:pPr>
              <w:pStyle w:val="BodyText"/>
              <w:rPr>
                <w:lang w:val="en-NZ"/>
              </w:rPr>
            </w:pPr>
            <w:r w:rsidRPr="009A718C">
              <w:rPr>
                <w:rStyle w:val="SpecialBold"/>
              </w:rPr>
              <w:t>3.4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18C">
            <w:pPr>
              <w:pStyle w:val="BodyText"/>
              <w:rPr>
                <w:lang w:val="en-NZ"/>
              </w:rPr>
            </w:pPr>
            <w:r w:rsidRPr="009A718C">
              <w:t>Faulty and defective equipment that presents a safety risk is isolated and tagged in accordance with workplace procedures and rail regulations</w:t>
            </w:r>
          </w:p>
        </w:tc>
      </w:tr>
      <w:tr w:rsidTr="0072286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718C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18C">
            <w:pPr>
              <w:pStyle w:val="BodyText"/>
              <w:rPr>
                <w:lang w:val="en-NZ"/>
              </w:rPr>
            </w:pPr>
            <w:r w:rsidRPr="009A718C">
              <w:rPr>
                <w:rStyle w:val="SpecialBold"/>
              </w:rPr>
              <w:t>3.5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18C">
            <w:pPr>
              <w:pStyle w:val="BodyText"/>
              <w:rPr>
                <w:lang w:val="en-NZ"/>
              </w:rPr>
            </w:pPr>
            <w:r w:rsidRPr="009A718C">
              <w:t>Outcomes of post-operational checks are recorded in accordance with workplace procedures</w:t>
            </w:r>
          </w:p>
        </w:tc>
      </w:tr>
      <w:tr w:rsidTr="0072286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718C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18C">
            <w:pPr>
              <w:pStyle w:val="BodyText"/>
              <w:rPr>
                <w:lang w:val="en-NZ"/>
              </w:rPr>
            </w:pPr>
            <w:r w:rsidRPr="009A718C">
              <w:rPr>
                <w:rStyle w:val="SpecialBold"/>
              </w:rPr>
              <w:t>3.6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18C">
            <w:pPr>
              <w:pStyle w:val="BodyText"/>
              <w:rPr>
                <w:lang w:val="en-NZ"/>
              </w:rPr>
            </w:pPr>
            <w:r w:rsidRPr="009A718C">
              <w:t xml:space="preserve">Equipment </w:t>
            </w:r>
            <w:r w:rsidRPr="009A718C">
              <w:t>is returned and stowed in accordance with workplace requirements</w:t>
            </w:r>
          </w:p>
        </w:tc>
      </w:tr>
      <w:tr w:rsidTr="0072286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718C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18C">
            <w:pPr>
              <w:pStyle w:val="BodyText"/>
              <w:rPr>
                <w:lang w:val="en-NZ"/>
              </w:rPr>
            </w:pPr>
            <w:r w:rsidRPr="009A718C">
              <w:rPr>
                <w:rStyle w:val="SpecialBold"/>
              </w:rPr>
              <w:t>3.7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718C" w:rsidP="009A718C">
            <w:pPr>
              <w:pStyle w:val="BodyText"/>
            </w:pPr>
            <w:r w:rsidRPr="009A718C">
              <w:t>Required safeworking and post-operational documentation is completed in accordance with workplace procedures and rail regulations</w:t>
            </w:r>
          </w:p>
        </w:tc>
      </w:tr>
    </w:tbl>
    <w:p w:rsidR="00722865" w:rsidP="009A718C">
      <w:pPr>
        <w:pStyle w:val="NoPaddingFontSize1"/>
      </w:pPr>
    </w:p>
    <w:p w:rsidR="00722865" w:rsidP="009A718C">
      <w:pPr>
        <w:pStyle w:val="NoPaddingFontSize1"/>
      </w:pPr>
    </w:p>
    <w:p w:rsidR="00000000" w:rsidRPr="009A718C" w:rsidP="009A718C">
      <w:pPr>
        <w:pStyle w:val="Heading1"/>
      </w:pPr>
      <w:bookmarkStart w:id="7" w:name="O_1196454"/>
      <w:bookmarkEnd w:id="7"/>
      <w:r w:rsidRPr="009A718C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A718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718C" w:rsidP="009A718C">
            <w:pPr>
              <w:pStyle w:val="BodyText"/>
            </w:pPr>
            <w:r w:rsidRPr="009A718C">
              <w:t>Foundation skills essential to performance are explicit in the performance criteria of this unit of competency.</w:t>
            </w:r>
          </w:p>
        </w:tc>
      </w:tr>
    </w:tbl>
    <w:p w:rsidR="00722865" w:rsidP="009A718C">
      <w:pPr>
        <w:pStyle w:val="NoPaddingFontSize1"/>
      </w:pPr>
    </w:p>
    <w:p w:rsidR="00722865" w:rsidP="009A718C">
      <w:pPr>
        <w:pStyle w:val="NoPaddingFontSize1"/>
      </w:pPr>
    </w:p>
    <w:p w:rsidR="00000000" w:rsidRPr="009A718C" w:rsidP="009A718C">
      <w:pPr>
        <w:pStyle w:val="Heading1"/>
      </w:pPr>
      <w:bookmarkStart w:id="8" w:name="O_1196453"/>
      <w:bookmarkEnd w:id="8"/>
      <w:r w:rsidRPr="009A718C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A718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718C" w:rsidP="009A718C">
            <w:pPr>
              <w:pStyle w:val="BodyText"/>
            </w:pPr>
            <w:r w:rsidRPr="009A718C">
              <w:t>Range is restricted to essential operating conditions and any other variables essential to the work e</w:t>
            </w:r>
            <w:r w:rsidRPr="009A718C">
              <w:t>nvironment.</w:t>
            </w:r>
          </w:p>
        </w:tc>
      </w:tr>
    </w:tbl>
    <w:p w:rsidR="00722865" w:rsidP="009A718C">
      <w:pPr>
        <w:pStyle w:val="NoPaddingFontSize1"/>
      </w:pPr>
    </w:p>
    <w:p w:rsidR="00722865" w:rsidP="009A718C">
      <w:pPr>
        <w:pStyle w:val="NoPaddingFontSize1"/>
      </w:pPr>
    </w:p>
    <w:p w:rsidR="00000000" w:rsidRPr="009A718C" w:rsidP="009A718C">
      <w:pPr>
        <w:pStyle w:val="Heading1"/>
      </w:pPr>
      <w:bookmarkStart w:id="9" w:name="O_1196452"/>
      <w:bookmarkEnd w:id="9"/>
      <w:r w:rsidRPr="009A718C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A718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718C" w:rsidP="009A718C">
            <w:pPr>
              <w:pStyle w:val="BodyText"/>
            </w:pPr>
            <w:r w:rsidRPr="009A718C">
              <w:t>This unit replaces and is equivalent to TLIC3027A Stable a motive power unit.</w:t>
            </w:r>
          </w:p>
        </w:tc>
      </w:tr>
    </w:tbl>
    <w:p w:rsidR="00722865" w:rsidP="009A718C">
      <w:pPr>
        <w:pStyle w:val="NoPaddingFontSize1"/>
      </w:pPr>
    </w:p>
    <w:p w:rsidR="00722865" w:rsidP="009A718C">
      <w:pPr>
        <w:pStyle w:val="NoPaddingFontSize1"/>
      </w:pPr>
    </w:p>
    <w:p w:rsidR="00000000" w:rsidRPr="009A718C" w:rsidP="009A718C">
      <w:pPr>
        <w:pStyle w:val="Heading1"/>
      </w:pPr>
      <w:bookmarkStart w:id="10" w:name="O_1196461"/>
      <w:bookmarkEnd w:id="10"/>
      <w:r w:rsidRPr="009A718C">
        <w:t>Links</w:t>
      </w:r>
    </w:p>
    <w:p w:rsidR="00000000" w:rsidRPr="009A718C" w:rsidP="00722865">
      <w:pPr>
        <w:pStyle w:val="BodyText"/>
      </w:pPr>
      <w:r w:rsidRPr="009A718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5A7153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9A718C" w:rsidP="009A718C"/>
    <w:sectPr w:rsidSect="009A718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718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718C" w:rsidRPr="00722865" w:rsidP="0072286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718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2865" w:rsidP="009A718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22865" w:rsidP="009A718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722865" w:rsidP="009A718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718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286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A718C" w:rsidRPr="00722865" w:rsidP="0072286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718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2865" w:rsidRPr="002D2AF8" w:rsidP="009A718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TLIC3027 Stable a motive power unit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722865" w:rsidP="009A718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BB8A3A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BE61CB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718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A718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A718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A718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A718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A718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A718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A718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A718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A718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A718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A718C"/>
  </w:style>
  <w:style w:type="character" w:customStyle="1" w:styleId="Heading1Char">
    <w:name w:val="Heading 1 Char"/>
    <w:basedOn w:val="DefaultParagraphFont"/>
    <w:link w:val="Heading1"/>
    <w:rsid w:val="009A718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A718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A718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A718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A718C"/>
    <w:rPr>
      <w:b/>
      <w:spacing w:val="0"/>
    </w:rPr>
  </w:style>
  <w:style w:type="paragraph" w:customStyle="1" w:styleId="SuperHeading">
    <w:name w:val="SuperHeading"/>
    <w:basedOn w:val="Normal"/>
    <w:rsid w:val="009A718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A718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9A718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A718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A718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A718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A718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A718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A718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A718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A718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A718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A718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A718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A718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A718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A718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A718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A718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A718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A718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A718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A718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A718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A718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A718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A718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A718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A718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A718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A718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A718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A718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A718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A718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A718C"/>
    <w:rPr>
      <w:i/>
    </w:rPr>
  </w:style>
  <w:style w:type="paragraph" w:styleId="Caption">
    <w:name w:val="caption"/>
    <w:basedOn w:val="BodyText"/>
    <w:next w:val="Normal"/>
    <w:qFormat/>
    <w:rsid w:val="009A718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A718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A718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A718C"/>
  </w:style>
  <w:style w:type="paragraph" w:styleId="TableofFigures">
    <w:name w:val="table of figures"/>
    <w:basedOn w:val="Normal"/>
    <w:next w:val="Normal"/>
    <w:semiHidden/>
    <w:rsid w:val="009A718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A718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A718C"/>
    <w:rPr>
      <w:rFonts w:ascii="Wingdings" w:hAnsi="Wingdings"/>
    </w:rPr>
  </w:style>
  <w:style w:type="paragraph" w:customStyle="1" w:styleId="TableHeading">
    <w:name w:val="Table Heading"/>
    <w:basedOn w:val="HeadingBase"/>
    <w:rsid w:val="009A718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A718C"/>
    <w:rPr>
      <w:color w:val="0033CC"/>
      <w:u w:val="none"/>
    </w:rPr>
  </w:style>
  <w:style w:type="paragraph" w:customStyle="1" w:styleId="BodyTextRight">
    <w:name w:val="Body Text Right"/>
    <w:basedOn w:val="BodyText"/>
    <w:rsid w:val="009A718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A718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A718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A718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A718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A718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A718C"/>
    <w:rPr>
      <w:sz w:val="32"/>
    </w:rPr>
  </w:style>
  <w:style w:type="paragraph" w:customStyle="1" w:styleId="HeadingProcedure">
    <w:name w:val="Heading Procedure"/>
    <w:basedOn w:val="HeadingBase"/>
    <w:next w:val="Normal"/>
    <w:rsid w:val="009A718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A718C"/>
    <w:pPr>
      <w:spacing w:before="60" w:after="60"/>
    </w:pPr>
  </w:style>
  <w:style w:type="paragraph" w:styleId="ListContinue">
    <w:name w:val="List Continue"/>
    <w:basedOn w:val="List"/>
    <w:rsid w:val="009A718C"/>
    <w:pPr>
      <w:ind w:firstLine="0"/>
    </w:pPr>
  </w:style>
  <w:style w:type="paragraph" w:customStyle="1" w:styleId="ListNote">
    <w:name w:val="List Note"/>
    <w:basedOn w:val="List"/>
    <w:rsid w:val="009A718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A718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A718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A718C"/>
    <w:rPr>
      <w:rFonts w:ascii="Courier New" w:hAnsi="Courier New"/>
    </w:rPr>
  </w:style>
  <w:style w:type="paragraph" w:customStyle="1" w:styleId="NoteBullet">
    <w:name w:val="Note Bullet"/>
    <w:basedOn w:val="Note"/>
    <w:rsid w:val="009A718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A718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A718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A718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A718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A718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A718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A718C"/>
    <w:rPr>
      <w:b/>
      <w:smallCaps/>
    </w:rPr>
  </w:style>
  <w:style w:type="paragraph" w:customStyle="1" w:styleId="TableListNumber">
    <w:name w:val="Table List Number"/>
    <w:basedOn w:val="ListNumber"/>
    <w:rsid w:val="009A718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A718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A718C"/>
    <w:pPr>
      <w:numPr>
        <w:numId w:val="8"/>
      </w:numPr>
    </w:pPr>
  </w:style>
  <w:style w:type="paragraph" w:customStyle="1" w:styleId="ListAlpha2">
    <w:name w:val="List Alpha 2"/>
    <w:basedOn w:val="List2"/>
    <w:rsid w:val="009A718C"/>
    <w:pPr>
      <w:numPr>
        <w:numId w:val="7"/>
      </w:numPr>
    </w:pPr>
  </w:style>
  <w:style w:type="paragraph" w:styleId="List2">
    <w:name w:val="List 2"/>
    <w:basedOn w:val="BodyText"/>
    <w:rsid w:val="009A718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A718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A718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A718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A718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A718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A718C"/>
    <w:pPr>
      <w:numPr>
        <w:numId w:val="3"/>
      </w:numPr>
    </w:pPr>
  </w:style>
  <w:style w:type="paragraph" w:styleId="ListContinue2">
    <w:name w:val="List Continue 2"/>
    <w:basedOn w:val="List2"/>
    <w:rsid w:val="009A718C"/>
    <w:pPr>
      <w:ind w:firstLine="0"/>
    </w:pPr>
  </w:style>
  <w:style w:type="paragraph" w:styleId="ListContinue3">
    <w:name w:val="List Continue 3"/>
    <w:basedOn w:val="List3"/>
    <w:rsid w:val="009A718C"/>
    <w:pPr>
      <w:ind w:left="1021" w:firstLine="0"/>
    </w:pPr>
  </w:style>
  <w:style w:type="paragraph" w:styleId="ListContinue4">
    <w:name w:val="List Continue 4"/>
    <w:basedOn w:val="List4"/>
    <w:rsid w:val="009A718C"/>
    <w:pPr>
      <w:ind w:firstLine="0"/>
    </w:pPr>
  </w:style>
  <w:style w:type="paragraph" w:styleId="ListContinue5">
    <w:name w:val="List Continue 5"/>
    <w:basedOn w:val="List5"/>
    <w:rsid w:val="009A718C"/>
    <w:pPr>
      <w:ind w:firstLine="0"/>
    </w:pPr>
  </w:style>
  <w:style w:type="paragraph" w:styleId="ListNumber3">
    <w:name w:val="List Number 3"/>
    <w:basedOn w:val="List3"/>
    <w:rsid w:val="009A718C"/>
    <w:pPr>
      <w:numPr>
        <w:numId w:val="4"/>
      </w:numPr>
    </w:pPr>
  </w:style>
  <w:style w:type="paragraph" w:styleId="ListNumber4">
    <w:name w:val="List Number 4"/>
    <w:basedOn w:val="List4"/>
    <w:rsid w:val="009A718C"/>
    <w:pPr>
      <w:numPr>
        <w:numId w:val="5"/>
      </w:numPr>
    </w:pPr>
  </w:style>
  <w:style w:type="paragraph" w:styleId="ListNumber5">
    <w:name w:val="List Number 5"/>
    <w:basedOn w:val="List5"/>
    <w:rsid w:val="009A718C"/>
    <w:pPr>
      <w:numPr>
        <w:numId w:val="6"/>
      </w:numPr>
    </w:pPr>
  </w:style>
  <w:style w:type="paragraph" w:styleId="BlockText">
    <w:name w:val="Block Text"/>
    <w:basedOn w:val="Normal"/>
    <w:rsid w:val="009A718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A718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A718C"/>
    <w:rPr>
      <w:sz w:val="16"/>
      <w:vertAlign w:val="superscript"/>
    </w:rPr>
  </w:style>
  <w:style w:type="character" w:customStyle="1" w:styleId="Symbols">
    <w:name w:val="Symbols"/>
    <w:basedOn w:val="DefaultParagraphFont"/>
    <w:rsid w:val="009A718C"/>
    <w:rPr>
      <w:rFonts w:ascii="Symbol" w:hAnsi="Symbol"/>
    </w:rPr>
  </w:style>
  <w:style w:type="character" w:customStyle="1" w:styleId="MenuOptions">
    <w:name w:val="Menu Options"/>
    <w:basedOn w:val="DefaultParagraphFont"/>
    <w:rsid w:val="009A718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A718C"/>
    <w:rPr>
      <w:b/>
    </w:rPr>
  </w:style>
  <w:style w:type="character" w:customStyle="1" w:styleId="Underlined">
    <w:name w:val="Underlined"/>
    <w:basedOn w:val="DefaultParagraphFont"/>
    <w:rsid w:val="009A718C"/>
    <w:rPr>
      <w:u w:val="single"/>
    </w:rPr>
  </w:style>
  <w:style w:type="paragraph" w:customStyle="1" w:styleId="TableBodyTextRight">
    <w:name w:val="Table Body Text Right"/>
    <w:basedOn w:val="TableBodyText"/>
    <w:rsid w:val="009A718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A718C"/>
    <w:rPr>
      <w:sz w:val="18"/>
    </w:rPr>
  </w:style>
  <w:style w:type="paragraph" w:customStyle="1" w:styleId="BodySmallRight">
    <w:name w:val="Body Small Right"/>
    <w:basedOn w:val="BodyTextRight"/>
    <w:rsid w:val="009A718C"/>
    <w:rPr>
      <w:sz w:val="18"/>
      <w:szCs w:val="18"/>
    </w:rPr>
  </w:style>
  <w:style w:type="paragraph" w:customStyle="1" w:styleId="MarginEdition">
    <w:name w:val="Margin Edition"/>
    <w:basedOn w:val="MarginNote"/>
    <w:rsid w:val="009A718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A718C"/>
    <w:rPr>
      <w:sz w:val="2"/>
      <w:szCs w:val="2"/>
    </w:rPr>
  </w:style>
  <w:style w:type="character" w:customStyle="1" w:styleId="Small">
    <w:name w:val="Small"/>
    <w:basedOn w:val="DefaultParagraphFont"/>
    <w:rsid w:val="009A718C"/>
    <w:rPr>
      <w:sz w:val="16"/>
    </w:rPr>
  </w:style>
  <w:style w:type="paragraph" w:customStyle="1" w:styleId="WideTable">
    <w:name w:val="Wide Table"/>
    <w:basedOn w:val="Normal"/>
    <w:rsid w:val="009A718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A718C"/>
  </w:style>
  <w:style w:type="paragraph" w:styleId="Quote">
    <w:name w:val="Quote"/>
    <w:basedOn w:val="Heading1"/>
    <w:link w:val="QuoteChar"/>
    <w:qFormat/>
    <w:rsid w:val="009A718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A718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A718C"/>
    <w:pPr>
      <w:pageBreakBefore/>
    </w:pPr>
  </w:style>
  <w:style w:type="paragraph" w:customStyle="1" w:styleId="Border">
    <w:name w:val="Border"/>
    <w:basedOn w:val="Normal"/>
    <w:qFormat/>
    <w:rsid w:val="009A718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A718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A718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A718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A718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A718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A718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A718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A718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A718C"/>
    <w:rPr>
      <w:u w:val="single"/>
    </w:rPr>
  </w:style>
  <w:style w:type="character" w:customStyle="1" w:styleId="BoldandItalics">
    <w:name w:val="Bold and Italics"/>
    <w:qFormat/>
    <w:rsid w:val="009A718C"/>
    <w:rPr>
      <w:b/>
      <w:i/>
      <w:u w:val="none"/>
    </w:rPr>
  </w:style>
  <w:style w:type="paragraph" w:styleId="BalloonText">
    <w:name w:val="Balloon Text"/>
    <w:basedOn w:val="Normal"/>
    <w:link w:val="BalloonTextChar"/>
    <w:rsid w:val="009A718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A718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A718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A718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A718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A718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A718C"/>
    <w:pPr>
      <w:spacing w:before="0" w:after="0"/>
    </w:pPr>
  </w:style>
  <w:style w:type="paragraph" w:customStyle="1" w:styleId="BodyTextBold">
    <w:name w:val="Body Text Bold"/>
    <w:basedOn w:val="BodyText"/>
    <w:qFormat/>
    <w:rsid w:val="009A718C"/>
    <w:rPr>
      <w:b/>
    </w:rPr>
  </w:style>
  <w:style w:type="character" w:styleId="Hyperlink">
    <w:name w:val="Hyperlink"/>
    <w:basedOn w:val="DefaultParagraphFont"/>
    <w:uiPriority w:val="99"/>
    <w:unhideWhenUsed/>
    <w:rsid w:val="0072286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584</Words>
  <Characters>3598</Characters>
  <Application>Microsoft Office Word</Application>
  <DocSecurity>0</DocSecurity>
  <Lines>163</Lines>
  <Paragraphs>88</Paragraphs>
  <ScaleCrop>false</ScaleCrop>
  <Company>Author-it Software Corporation Ltd.</Company>
  <LinksUpToDate>false</LinksUpToDate>
  <CharactersWithSpaces>4094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TLIC3027 Stable a motive power unit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2024-07-12T07:26:00Z</dcterms:created>
  <dcterms:modified xsi:type="dcterms:W3CDTF">2024-07-12T07:26:00Z</dcterms:modified>
</cp:coreProperties>
</file>