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42D7" w:rsidP="000242D7">
      <w:pPr>
        <w:pStyle w:val="Title"/>
      </w:pPr>
      <w:r>
        <w:fldChar w:fldCharType="begin"/>
      </w:r>
      <w:r>
        <w:instrText xml:space="preserve"> TITLE   \* MERGEFORMAT </w:instrText>
      </w:r>
      <w:r>
        <w:fldChar w:fldCharType="separate"/>
      </w:r>
      <w:r>
        <w:t>TLIC3027 Stable a motive power unit</w:t>
      </w:r>
      <w:r>
        <w:fldChar w:fldCharType="end"/>
      </w:r>
    </w:p>
    <w:p w:rsidR="000242D7" w:rsidP="000242D7">
      <w:pPr>
        <w:pStyle w:val="Version"/>
        <w:sectPr w:rsidSect="001B6F9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B6F95" w:rsidP="001B6F95">
      <w:pPr>
        <w:pStyle w:val="SuperHeading"/>
      </w:pPr>
      <w:r w:rsidRPr="001B6F95">
        <w:t>TLIC3027 Stable a motive power unit</w:t>
      </w:r>
    </w:p>
    <w:p w:rsidR="00000000" w:rsidRPr="001B6F95" w:rsidP="001B6F95">
      <w:pPr>
        <w:pStyle w:val="Heading1"/>
      </w:pPr>
      <w:bookmarkStart w:id="1" w:name="O_1196460"/>
      <w:bookmarkEnd w:id="1"/>
      <w:r w:rsidRPr="001B6F95">
        <w:t>Modification History</w:t>
      </w:r>
    </w:p>
    <w:tbl>
      <w:tblPr>
        <w:tblW w:w="9497" w:type="dxa"/>
        <w:tblLayout w:type="fixed"/>
        <w:tblCellMar>
          <w:left w:w="62" w:type="dxa"/>
          <w:right w:w="62" w:type="dxa"/>
        </w:tblCellMar>
        <w:tblLook w:val="0000"/>
      </w:tblPr>
      <w:tblGrid>
        <w:gridCol w:w="9497"/>
      </w:tblGrid>
      <w:tr w:rsidTr="001B6F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6F95" w:rsidP="001B6F95">
            <w:pPr>
              <w:pStyle w:val="BodyText"/>
            </w:pPr>
            <w:r w:rsidRPr="001B6F95">
              <w:rPr>
                <w:rStyle w:val="SpecialBold"/>
              </w:rPr>
              <w:t>Release 2.</w:t>
            </w:r>
            <w:r w:rsidRPr="001B6F95">
              <w:t xml:space="preserve"> This is the second release of this unit of competency in the TLI Transport and Logistics Training Package:</w:t>
            </w:r>
          </w:p>
          <w:p w:rsidR="00000000" w:rsidRPr="001B6F95" w:rsidP="001B6F95">
            <w:pPr>
              <w:pStyle w:val="ListBullet"/>
            </w:pPr>
            <w:r w:rsidRPr="001B6F95">
              <w:t>Minor terminology changes to Performance Criteria</w:t>
            </w:r>
          </w:p>
          <w:p w:rsidR="00000000" w:rsidRPr="001B6F95" w:rsidP="001B6F95">
            <w:pPr>
              <w:pStyle w:val="ListBullet"/>
            </w:pPr>
            <w:r w:rsidRPr="001B6F95">
              <w:t>Minor statement changes in Performance Evidence</w:t>
            </w:r>
          </w:p>
          <w:p w:rsidR="00000000" w:rsidRPr="001B6F95" w:rsidP="001B6F95">
            <w:pPr>
              <w:pStyle w:val="ListBullet"/>
            </w:pPr>
            <w:r w:rsidRPr="001B6F95">
              <w:t>Minor statement ch</w:t>
            </w:r>
            <w:r w:rsidRPr="001B6F95">
              <w:t>anges in Knowledge Evidence</w:t>
            </w:r>
          </w:p>
          <w:p w:rsidR="00000000" w:rsidP="001B6F95">
            <w:pPr>
              <w:pStyle w:val="ListBullet"/>
              <w:rPr>
                <w:lang w:val="en-NZ"/>
              </w:rPr>
            </w:pPr>
            <w:r w:rsidRPr="001B6F95">
              <w:t>Minor statement changes in Assessment Conditions.</w:t>
            </w:r>
          </w:p>
        </w:tc>
      </w:tr>
      <w:tr w:rsidTr="001B6F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6F95" w:rsidP="001B6F95">
            <w:pPr>
              <w:pStyle w:val="BodyText"/>
            </w:pPr>
            <w:r w:rsidRPr="001B6F95">
              <w:rPr>
                <w:rStyle w:val="SpecialBold"/>
              </w:rPr>
              <w:t>Release 1.</w:t>
            </w:r>
            <w:r w:rsidRPr="001B6F95">
              <w:t xml:space="preserve"> This is the first release of this unit of competency in the TLI Transport and Logistics Training Package.</w:t>
            </w:r>
          </w:p>
        </w:tc>
      </w:tr>
    </w:tbl>
    <w:p w:rsidR="000242D7" w:rsidP="001B6F95">
      <w:pPr>
        <w:pStyle w:val="NoPaddingFontSize1"/>
      </w:pPr>
    </w:p>
    <w:p w:rsidR="000242D7" w:rsidP="001B6F95">
      <w:pPr>
        <w:pStyle w:val="NoPaddingFontSize1"/>
      </w:pPr>
    </w:p>
    <w:p w:rsidR="00000000" w:rsidRPr="001B6F95" w:rsidP="001B6F95">
      <w:pPr>
        <w:pStyle w:val="Heading1"/>
      </w:pPr>
      <w:bookmarkStart w:id="2" w:name="O_1196459"/>
      <w:bookmarkEnd w:id="2"/>
      <w:r w:rsidRPr="001B6F95">
        <w:t>Application</w:t>
      </w:r>
    </w:p>
    <w:tbl>
      <w:tblPr>
        <w:tblW w:w="9497" w:type="dxa"/>
        <w:tblLayout w:type="fixed"/>
        <w:tblCellMar>
          <w:left w:w="62" w:type="dxa"/>
          <w:right w:w="62" w:type="dxa"/>
        </w:tblCellMar>
        <w:tblLook w:val="0000"/>
      </w:tblPr>
      <w:tblGrid>
        <w:gridCol w:w="9497"/>
      </w:tblGrid>
      <w:tr w:rsidTr="001B6F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6F95" w:rsidP="001B6F95">
            <w:pPr>
              <w:pStyle w:val="BodyText"/>
            </w:pPr>
            <w:r w:rsidRPr="001B6F95">
              <w:t>This unit involves the skills and knowledge required to stable a motive power unit in accordance with relevant workplace procedures, rail regulations and codes of practice.</w:t>
            </w:r>
          </w:p>
          <w:p w:rsidR="00000000" w:rsidRPr="001B6F95" w:rsidP="001B6F95">
            <w:pPr>
              <w:pStyle w:val="BodyText"/>
            </w:pPr>
            <w:r w:rsidRPr="001B6F95">
              <w:t>It includes determining the required stabling location, shunting and securing the t</w:t>
            </w:r>
            <w:r w:rsidRPr="001B6F95">
              <w:t>rain, stabling and securing the motive power unit, carrying out all required post-operational checks and completing post-operational paperwork.</w:t>
            </w:r>
          </w:p>
          <w:p w:rsidR="00000000" w:rsidRPr="001B6F95" w:rsidP="001B6F95">
            <w:pPr>
              <w:pStyle w:val="BodyText"/>
            </w:pPr>
            <w:r w:rsidRPr="001B6F95">
              <w:t>People achieving competence in this unit will need to fulfil the applicable state/territory legislated rail safe</w:t>
            </w:r>
            <w:r w:rsidRPr="001B6F95">
              <w:t>ty requirements and to comply with relevant codes of practice and/or guidelines.</w:t>
            </w:r>
          </w:p>
          <w:p w:rsidR="00000000" w:rsidRPr="001B6F95" w:rsidP="001B6F95">
            <w:pPr>
              <w:pStyle w:val="BodyText"/>
            </w:pPr>
            <w:r w:rsidRPr="001B6F95">
              <w:t>Work is performed without supervision, generally within a team environment. It involves the application of routine operational principles and procedures when stabling and secu</w:t>
            </w:r>
            <w:r w:rsidRPr="001B6F95">
              <w:t>ring a motive power unit, across a variety of operational contexts in the Australian rail system.</w:t>
            </w:r>
          </w:p>
          <w:p w:rsidR="00000000" w:rsidRPr="001B6F95" w:rsidP="001B6F95">
            <w:pPr>
              <w:pStyle w:val="BodyText"/>
            </w:pPr>
            <w:r w:rsidRPr="001B6F95">
              <w:t>No licensing, legislative or certification requirements apply to this unit at the time of publication.</w:t>
            </w:r>
          </w:p>
        </w:tc>
      </w:tr>
    </w:tbl>
    <w:p w:rsidR="000242D7" w:rsidP="001B6F95">
      <w:pPr>
        <w:pStyle w:val="NoPaddingFontSize1"/>
      </w:pPr>
    </w:p>
    <w:p w:rsidR="000242D7" w:rsidP="001B6F95">
      <w:pPr>
        <w:pStyle w:val="NoPaddingFontSize1"/>
      </w:pPr>
    </w:p>
    <w:p w:rsidR="00000000" w:rsidRPr="001B6F95" w:rsidP="001B6F95">
      <w:pPr>
        <w:pStyle w:val="Heading1"/>
      </w:pPr>
      <w:bookmarkStart w:id="3" w:name="O_1196458"/>
      <w:bookmarkEnd w:id="3"/>
      <w:r w:rsidRPr="001B6F95">
        <w:t>Pre-requisite Unit</w:t>
      </w:r>
    </w:p>
    <w:tbl>
      <w:tblPr>
        <w:tblW w:w="9497" w:type="dxa"/>
        <w:tblLayout w:type="fixed"/>
        <w:tblCellMar>
          <w:left w:w="62" w:type="dxa"/>
          <w:right w:w="62" w:type="dxa"/>
        </w:tblCellMar>
        <w:tblLook w:val="0000"/>
      </w:tblPr>
      <w:tblGrid>
        <w:gridCol w:w="9497"/>
      </w:tblGrid>
      <w:tr w:rsidTr="001B6F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6F95" w:rsidP="001B6F95">
            <w:pPr>
              <w:pStyle w:val="BodyText"/>
            </w:pPr>
            <w:r w:rsidRPr="001B6F95">
              <w:t>Not applicable</w:t>
            </w:r>
            <w:r w:rsidRPr="001B6F95">
              <w:t>.</w:t>
            </w:r>
          </w:p>
        </w:tc>
      </w:tr>
    </w:tbl>
    <w:p w:rsidR="000242D7" w:rsidP="001B6F95">
      <w:pPr>
        <w:pStyle w:val="NoPaddingFontSize1"/>
      </w:pPr>
    </w:p>
    <w:p w:rsidR="000242D7" w:rsidP="001B6F95">
      <w:pPr>
        <w:pStyle w:val="NoPaddingFontSize1"/>
      </w:pPr>
    </w:p>
    <w:p w:rsidR="00000000" w:rsidRPr="001B6F95" w:rsidP="001B6F95">
      <w:pPr>
        <w:pStyle w:val="Heading1"/>
      </w:pPr>
      <w:bookmarkStart w:id="4" w:name="O_1196457"/>
      <w:bookmarkEnd w:id="4"/>
      <w:r w:rsidRPr="001B6F95">
        <w:t>Competency Field</w:t>
      </w:r>
    </w:p>
    <w:tbl>
      <w:tblPr>
        <w:tblW w:w="9497" w:type="dxa"/>
        <w:tblLayout w:type="fixed"/>
        <w:tblCellMar>
          <w:left w:w="62" w:type="dxa"/>
          <w:right w:w="62" w:type="dxa"/>
        </w:tblCellMar>
        <w:tblLook w:val="0000"/>
      </w:tblPr>
      <w:tblGrid>
        <w:gridCol w:w="9497"/>
      </w:tblGrid>
      <w:tr w:rsidTr="001B6F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6F95" w:rsidP="001B6F95">
            <w:pPr>
              <w:pStyle w:val="BodyText"/>
            </w:pPr>
            <w:r w:rsidRPr="001B6F95">
              <w:t>C – Vehicle Operation.</w:t>
            </w:r>
          </w:p>
        </w:tc>
      </w:tr>
    </w:tbl>
    <w:p w:rsidR="000242D7" w:rsidP="001B6F95">
      <w:pPr>
        <w:pStyle w:val="NoPaddingFontSize1"/>
      </w:pPr>
    </w:p>
    <w:p w:rsidR="000242D7" w:rsidP="001B6F95">
      <w:pPr>
        <w:pStyle w:val="NoPaddingFontSize1"/>
      </w:pPr>
    </w:p>
    <w:p w:rsidR="00000000" w:rsidRPr="001B6F95" w:rsidP="001B6F95">
      <w:pPr>
        <w:pStyle w:val="Heading1"/>
      </w:pPr>
      <w:bookmarkStart w:id="5" w:name="O_1196456"/>
      <w:bookmarkEnd w:id="5"/>
      <w:r w:rsidRPr="001B6F95">
        <w:t>Unit Sector</w:t>
      </w:r>
    </w:p>
    <w:tbl>
      <w:tblPr>
        <w:tblW w:w="9497" w:type="dxa"/>
        <w:tblLayout w:type="fixed"/>
        <w:tblCellMar>
          <w:left w:w="62" w:type="dxa"/>
          <w:right w:w="62" w:type="dxa"/>
        </w:tblCellMar>
        <w:tblLook w:val="0000"/>
      </w:tblPr>
      <w:tblGrid>
        <w:gridCol w:w="9497"/>
      </w:tblGrid>
      <w:tr w:rsidTr="001B6F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6F95" w:rsidP="001B6F95">
            <w:pPr>
              <w:pStyle w:val="BodyText"/>
            </w:pPr>
            <w:r w:rsidRPr="001B6F95">
              <w:t>Rail sector.</w:t>
            </w:r>
          </w:p>
        </w:tc>
      </w:tr>
    </w:tbl>
    <w:p w:rsidR="000242D7" w:rsidP="001B6F95">
      <w:pPr>
        <w:pStyle w:val="NoPaddingFontSize1"/>
      </w:pPr>
    </w:p>
    <w:p w:rsidR="000242D7" w:rsidP="001B6F95">
      <w:pPr>
        <w:pStyle w:val="NoPaddingFontSize1"/>
      </w:pPr>
    </w:p>
    <w:p w:rsidR="00000000" w:rsidRPr="001B6F95" w:rsidP="001B6F95">
      <w:pPr>
        <w:pStyle w:val="Heading1"/>
      </w:pPr>
      <w:bookmarkStart w:id="6" w:name="O_1196455"/>
      <w:bookmarkEnd w:id="6"/>
      <w:r w:rsidRPr="001B6F95">
        <w:t>Elements and Performance Criteria</w:t>
      </w:r>
    </w:p>
    <w:tbl>
      <w:tblPr>
        <w:tblW w:w="0" w:type="auto"/>
        <w:tblCellMar>
          <w:left w:w="62" w:type="dxa"/>
          <w:right w:w="62" w:type="dxa"/>
        </w:tblCellMar>
        <w:tblLook w:val="0000"/>
      </w:tblPr>
      <w:tblGrid>
        <w:gridCol w:w="341"/>
        <w:gridCol w:w="2299"/>
        <w:gridCol w:w="566"/>
        <w:gridCol w:w="5990"/>
      </w:tblGrid>
      <w:tr w:rsidTr="000242D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1B6F95" w:rsidP="001B6F95">
            <w:pPr>
              <w:pStyle w:val="BodyText"/>
            </w:pPr>
            <w:r w:rsidRPr="001B6F95">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1B6F95">
            <w:pPr>
              <w:pStyle w:val="BodyText"/>
              <w:rPr>
                <w:lang w:val="en-NZ"/>
              </w:rPr>
            </w:pPr>
            <w:r w:rsidRPr="001B6F95">
              <w:rPr>
                <w:rStyle w:val="SpecialBold"/>
              </w:rPr>
              <w:t>PERFORMANCE CRITERIA</w:t>
            </w:r>
          </w:p>
        </w:tc>
      </w:tr>
      <w:tr w:rsidTr="000242D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B6F95">
            <w:pPr>
              <w:pStyle w:val="BodyText"/>
              <w:rPr>
                <w:lang w:val="en-NZ"/>
              </w:rPr>
            </w:pPr>
            <w:r w:rsidRPr="001B6F95">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1B6F95">
            <w:pPr>
              <w:pStyle w:val="BodyText"/>
              <w:rPr>
                <w:lang w:val="en-NZ"/>
              </w:rPr>
            </w:pPr>
            <w:r w:rsidRPr="001B6F95">
              <w:t>Performance criteria describe the performance needed to demonstrate achievement of the element.</w:t>
            </w:r>
          </w:p>
        </w:tc>
      </w:tr>
      <w:tr w:rsidTr="000242D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B6F95" w:rsidP="001B6F95">
            <w:pPr>
              <w:pStyle w:val="BodyText"/>
            </w:pPr>
            <w:r w:rsidRPr="001B6F95">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RPr="001B6F95" w:rsidP="001B6F95">
            <w:pPr>
              <w:pStyle w:val="BodyText"/>
            </w:pPr>
            <w:r w:rsidRPr="001B6F95">
              <w:rPr>
                <w:rStyle w:val="SpecialBold"/>
              </w:rPr>
              <w:t>Determine stabling location</w:t>
            </w:r>
          </w:p>
        </w:tc>
        <w:tc>
          <w:tcPr>
            <w:tcW w:w="0" w:type="auto"/>
            <w:tcBorders>
              <w:top w:val="nil"/>
              <w:left w:val="nil"/>
              <w:bottom w:val="nil"/>
              <w:right w:val="nil"/>
            </w:tcBorders>
            <w:tcMar>
              <w:top w:w="0" w:type="dxa"/>
              <w:left w:w="62" w:type="dxa"/>
              <w:bottom w:w="0" w:type="dxa"/>
              <w:right w:w="62" w:type="dxa"/>
            </w:tcMar>
          </w:tcPr>
          <w:p w:rsidR="00000000" w:rsidP="001B6F95">
            <w:pPr>
              <w:pStyle w:val="BodyText"/>
              <w:rPr>
                <w:lang w:val="en-NZ"/>
              </w:rPr>
            </w:pPr>
            <w:r w:rsidRPr="001B6F95">
              <w:rPr>
                <w:rStyle w:val="SpecialBold"/>
              </w:rPr>
              <w:t>1.1</w:t>
            </w:r>
          </w:p>
        </w:tc>
        <w:tc>
          <w:tcPr>
            <w:tcW w:w="0" w:type="auto"/>
            <w:tcBorders>
              <w:top w:val="nil"/>
              <w:left w:val="nil"/>
              <w:bottom w:val="nil"/>
              <w:right w:val="nil"/>
            </w:tcBorders>
            <w:tcMar>
              <w:top w:w="0" w:type="dxa"/>
              <w:left w:w="62" w:type="dxa"/>
              <w:bottom w:w="0" w:type="dxa"/>
              <w:right w:w="62" w:type="dxa"/>
            </w:tcMar>
          </w:tcPr>
          <w:p w:rsidR="00000000" w:rsidP="001B6F95">
            <w:pPr>
              <w:pStyle w:val="BodyText"/>
              <w:rPr>
                <w:lang w:val="en-NZ"/>
              </w:rPr>
            </w:pPr>
            <w:r w:rsidRPr="001B6F95">
              <w:t>Contact is made with appropriate personnel to determine planned location for stabling train and/or motive power unit</w:t>
            </w:r>
          </w:p>
        </w:tc>
      </w:tr>
      <w:tr w:rsidTr="000242D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1B6F95">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1B6F95">
            <w:pPr>
              <w:pStyle w:val="BodyText"/>
              <w:rPr>
                <w:lang w:val="en-NZ"/>
              </w:rPr>
            </w:pPr>
            <w:r w:rsidRPr="001B6F95">
              <w:rPr>
                <w:rStyle w:val="SpecialBold"/>
              </w:rPr>
              <w:t>1.2</w:t>
            </w:r>
          </w:p>
        </w:tc>
        <w:tc>
          <w:tcPr>
            <w:tcW w:w="0" w:type="auto"/>
            <w:tcBorders>
              <w:top w:val="nil"/>
              <w:left w:val="nil"/>
              <w:bottom w:val="nil"/>
              <w:right w:val="nil"/>
            </w:tcBorders>
            <w:tcMar>
              <w:top w:w="0" w:type="dxa"/>
              <w:left w:w="62" w:type="dxa"/>
              <w:bottom w:w="0" w:type="dxa"/>
              <w:right w:w="62" w:type="dxa"/>
            </w:tcMar>
          </w:tcPr>
          <w:p w:rsidR="00000000" w:rsidP="001B6F95">
            <w:pPr>
              <w:pStyle w:val="BodyText"/>
              <w:rPr>
                <w:lang w:val="en-NZ"/>
              </w:rPr>
            </w:pPr>
            <w:r w:rsidRPr="001B6F95">
              <w:t>Location is identified and confirmed with appropriate personnel</w:t>
            </w:r>
          </w:p>
        </w:tc>
      </w:tr>
      <w:tr w:rsidTr="000242D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1B6F95">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1B6F95">
            <w:pPr>
              <w:pStyle w:val="BodyText"/>
              <w:rPr>
                <w:lang w:val="en-NZ"/>
              </w:rPr>
            </w:pPr>
            <w:r w:rsidRPr="001B6F95">
              <w:rPr>
                <w:rStyle w:val="SpecialBold"/>
              </w:rPr>
              <w:t>1.3</w:t>
            </w:r>
          </w:p>
        </w:tc>
        <w:tc>
          <w:tcPr>
            <w:tcW w:w="0" w:type="auto"/>
            <w:tcBorders>
              <w:top w:val="nil"/>
              <w:left w:val="nil"/>
              <w:bottom w:val="nil"/>
              <w:right w:val="nil"/>
            </w:tcBorders>
            <w:tcMar>
              <w:top w:w="0" w:type="dxa"/>
              <w:left w:w="62" w:type="dxa"/>
              <w:bottom w:w="0" w:type="dxa"/>
              <w:right w:w="62" w:type="dxa"/>
            </w:tcMar>
          </w:tcPr>
          <w:p w:rsidR="00000000" w:rsidP="001B6F95">
            <w:pPr>
              <w:pStyle w:val="BodyText"/>
              <w:rPr>
                <w:lang w:val="en-NZ"/>
              </w:rPr>
            </w:pPr>
            <w:r w:rsidRPr="001B6F95">
              <w:t>Directions from appropriate personnel are interpreted and followed</w:t>
            </w:r>
          </w:p>
        </w:tc>
      </w:tr>
      <w:tr w:rsidTr="000242D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B6F95" w:rsidP="001B6F95">
            <w:pPr>
              <w:pStyle w:val="BodyText"/>
            </w:pPr>
            <w:r w:rsidRPr="001B6F95">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RPr="001B6F95" w:rsidP="001B6F95">
            <w:pPr>
              <w:pStyle w:val="BodyText"/>
            </w:pPr>
            <w:r w:rsidRPr="001B6F95">
              <w:rPr>
                <w:rStyle w:val="SpecialBold"/>
              </w:rPr>
              <w:t>Stable motive power unit</w:t>
            </w:r>
          </w:p>
        </w:tc>
        <w:tc>
          <w:tcPr>
            <w:tcW w:w="0" w:type="auto"/>
            <w:tcBorders>
              <w:top w:val="nil"/>
              <w:left w:val="nil"/>
              <w:bottom w:val="nil"/>
              <w:right w:val="nil"/>
            </w:tcBorders>
            <w:tcMar>
              <w:top w:w="0" w:type="dxa"/>
              <w:left w:w="62" w:type="dxa"/>
              <w:bottom w:w="0" w:type="dxa"/>
              <w:right w:w="62" w:type="dxa"/>
            </w:tcMar>
          </w:tcPr>
          <w:p w:rsidR="00000000" w:rsidP="001B6F95">
            <w:pPr>
              <w:pStyle w:val="BodyText"/>
              <w:rPr>
                <w:lang w:val="en-NZ"/>
              </w:rPr>
            </w:pPr>
            <w:r w:rsidRPr="001B6F95">
              <w:rPr>
                <w:rStyle w:val="SpecialBold"/>
              </w:rPr>
              <w:t>2.1</w:t>
            </w:r>
          </w:p>
        </w:tc>
        <w:tc>
          <w:tcPr>
            <w:tcW w:w="0" w:type="auto"/>
            <w:tcBorders>
              <w:top w:val="nil"/>
              <w:left w:val="nil"/>
              <w:bottom w:val="nil"/>
              <w:right w:val="nil"/>
            </w:tcBorders>
            <w:tcMar>
              <w:top w:w="0" w:type="dxa"/>
              <w:left w:w="62" w:type="dxa"/>
              <w:bottom w:w="0" w:type="dxa"/>
              <w:right w:w="62" w:type="dxa"/>
            </w:tcMar>
          </w:tcPr>
          <w:p w:rsidR="00000000" w:rsidP="001B6F95">
            <w:pPr>
              <w:pStyle w:val="BodyText"/>
              <w:rPr>
                <w:lang w:val="en-NZ"/>
              </w:rPr>
            </w:pPr>
            <w:r w:rsidRPr="001B6F95">
              <w:t xml:space="preserve">Train is shunted and secured to prevent roll away in accordance with directions and workplace procedures </w:t>
            </w:r>
          </w:p>
        </w:tc>
      </w:tr>
      <w:tr w:rsidTr="000242D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1B6F95">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1B6F95">
            <w:pPr>
              <w:pStyle w:val="BodyText"/>
              <w:rPr>
                <w:lang w:val="en-NZ"/>
              </w:rPr>
            </w:pPr>
            <w:r w:rsidRPr="001B6F95">
              <w:rPr>
                <w:rStyle w:val="SpecialBold"/>
              </w:rPr>
              <w:t>2.2</w:t>
            </w:r>
          </w:p>
        </w:tc>
        <w:tc>
          <w:tcPr>
            <w:tcW w:w="0" w:type="auto"/>
            <w:tcBorders>
              <w:top w:val="nil"/>
              <w:left w:val="nil"/>
              <w:bottom w:val="nil"/>
              <w:right w:val="nil"/>
            </w:tcBorders>
            <w:tcMar>
              <w:top w:w="0" w:type="dxa"/>
              <w:left w:w="62" w:type="dxa"/>
              <w:bottom w:w="0" w:type="dxa"/>
              <w:right w:w="62" w:type="dxa"/>
            </w:tcMar>
          </w:tcPr>
          <w:p w:rsidR="00000000" w:rsidP="001B6F95">
            <w:pPr>
              <w:pStyle w:val="BodyText"/>
              <w:rPr>
                <w:lang w:val="en-NZ"/>
              </w:rPr>
            </w:pPr>
            <w:r w:rsidRPr="001B6F95">
              <w:t>Motive power unit is stabled as directed</w:t>
            </w:r>
          </w:p>
        </w:tc>
      </w:tr>
      <w:tr w:rsidTr="000242D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1B6F95">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1B6F95">
            <w:pPr>
              <w:pStyle w:val="BodyText"/>
              <w:rPr>
                <w:lang w:val="en-NZ"/>
              </w:rPr>
            </w:pPr>
            <w:r w:rsidRPr="001B6F95">
              <w:rPr>
                <w:rStyle w:val="SpecialBold"/>
              </w:rPr>
              <w:t>2.3</w:t>
            </w:r>
          </w:p>
        </w:tc>
        <w:tc>
          <w:tcPr>
            <w:tcW w:w="0" w:type="auto"/>
            <w:tcBorders>
              <w:top w:val="nil"/>
              <w:left w:val="nil"/>
              <w:bottom w:val="nil"/>
              <w:right w:val="nil"/>
            </w:tcBorders>
            <w:tcMar>
              <w:top w:w="0" w:type="dxa"/>
              <w:left w:w="62" w:type="dxa"/>
              <w:bottom w:w="0" w:type="dxa"/>
              <w:right w:w="62" w:type="dxa"/>
            </w:tcMar>
          </w:tcPr>
          <w:p w:rsidR="00000000" w:rsidP="001B6F95">
            <w:pPr>
              <w:pStyle w:val="BodyText"/>
              <w:rPr>
                <w:lang w:val="en-NZ"/>
              </w:rPr>
            </w:pPr>
            <w:r w:rsidRPr="001B6F95">
              <w:t>Motive power unit is secured to prevent roll away in accordance with directions and workplace procedures</w:t>
            </w:r>
          </w:p>
        </w:tc>
      </w:tr>
      <w:tr w:rsidTr="000242D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1B6F95">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1B6F95">
            <w:pPr>
              <w:pStyle w:val="BodyText"/>
              <w:rPr>
                <w:lang w:val="en-NZ"/>
              </w:rPr>
            </w:pPr>
            <w:r w:rsidRPr="001B6F95">
              <w:rPr>
                <w:rStyle w:val="SpecialBold"/>
              </w:rPr>
              <w:t>2.4</w:t>
            </w:r>
          </w:p>
        </w:tc>
        <w:tc>
          <w:tcPr>
            <w:tcW w:w="0" w:type="auto"/>
            <w:tcBorders>
              <w:top w:val="nil"/>
              <w:left w:val="nil"/>
              <w:bottom w:val="nil"/>
              <w:right w:val="nil"/>
            </w:tcBorders>
            <w:tcMar>
              <w:top w:w="0" w:type="dxa"/>
              <w:left w:w="62" w:type="dxa"/>
              <w:bottom w:w="0" w:type="dxa"/>
              <w:right w:w="62" w:type="dxa"/>
            </w:tcMar>
          </w:tcPr>
          <w:p w:rsidR="00000000" w:rsidP="001B6F95">
            <w:pPr>
              <w:pStyle w:val="BodyText"/>
              <w:rPr>
                <w:lang w:val="en-NZ"/>
              </w:rPr>
            </w:pPr>
            <w:r w:rsidRPr="001B6F95">
              <w:t>Motive power unit is shut down in accordance with manufacturer instructions and workplace procedures</w:t>
            </w:r>
          </w:p>
        </w:tc>
      </w:tr>
      <w:tr w:rsidTr="000242D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1B6F95">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1B6F95">
            <w:pPr>
              <w:pStyle w:val="BodyText"/>
              <w:rPr>
                <w:lang w:val="en-NZ"/>
              </w:rPr>
            </w:pPr>
            <w:r w:rsidRPr="001B6F95">
              <w:rPr>
                <w:rStyle w:val="SpecialBold"/>
              </w:rPr>
              <w:t>2.5</w:t>
            </w:r>
          </w:p>
        </w:tc>
        <w:tc>
          <w:tcPr>
            <w:tcW w:w="0" w:type="auto"/>
            <w:tcBorders>
              <w:top w:val="nil"/>
              <w:left w:val="nil"/>
              <w:bottom w:val="nil"/>
              <w:right w:val="nil"/>
            </w:tcBorders>
            <w:tcMar>
              <w:top w:w="0" w:type="dxa"/>
              <w:left w:w="62" w:type="dxa"/>
              <w:bottom w:w="0" w:type="dxa"/>
              <w:right w:w="62" w:type="dxa"/>
            </w:tcMar>
          </w:tcPr>
          <w:p w:rsidR="00000000" w:rsidP="001B6F95">
            <w:pPr>
              <w:pStyle w:val="BodyText"/>
              <w:rPr>
                <w:lang w:val="en-NZ"/>
              </w:rPr>
            </w:pPr>
            <w:r w:rsidRPr="001B6F95">
              <w:t>Cab is secured in accordance with workplace procedures</w:t>
            </w:r>
          </w:p>
        </w:tc>
      </w:tr>
      <w:tr w:rsidTr="000242D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1B6F95">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1B6F95">
            <w:pPr>
              <w:pStyle w:val="BodyText"/>
              <w:rPr>
                <w:lang w:val="en-NZ"/>
              </w:rPr>
            </w:pPr>
            <w:r w:rsidRPr="001B6F95">
              <w:rPr>
                <w:rStyle w:val="SpecialBold"/>
              </w:rPr>
              <w:t>2.6</w:t>
            </w:r>
          </w:p>
        </w:tc>
        <w:tc>
          <w:tcPr>
            <w:tcW w:w="0" w:type="auto"/>
            <w:tcBorders>
              <w:top w:val="nil"/>
              <w:left w:val="nil"/>
              <w:bottom w:val="nil"/>
              <w:right w:val="nil"/>
            </w:tcBorders>
            <w:tcMar>
              <w:top w:w="0" w:type="dxa"/>
              <w:left w:w="62" w:type="dxa"/>
              <w:bottom w:w="0" w:type="dxa"/>
              <w:right w:w="62" w:type="dxa"/>
            </w:tcMar>
          </w:tcPr>
          <w:p w:rsidR="00000000" w:rsidP="001B6F95">
            <w:pPr>
              <w:pStyle w:val="BodyText"/>
              <w:rPr>
                <w:lang w:val="en-NZ"/>
              </w:rPr>
            </w:pPr>
            <w:r w:rsidRPr="001B6F95">
              <w:t>Derailers are set in place in accordance with workplace procedures, as required</w:t>
            </w:r>
          </w:p>
        </w:tc>
      </w:tr>
      <w:tr w:rsidTr="000242D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B6F95" w:rsidP="001B6F95">
            <w:pPr>
              <w:pStyle w:val="BodyText"/>
            </w:pPr>
            <w:r w:rsidRPr="001B6F95">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RPr="001B6F95" w:rsidP="001B6F95">
            <w:pPr>
              <w:pStyle w:val="BodyText"/>
            </w:pPr>
            <w:r w:rsidRPr="001B6F95">
              <w:rPr>
                <w:rStyle w:val="SpecialBold"/>
              </w:rPr>
              <w:t>Carry out post-operational checks</w:t>
            </w:r>
          </w:p>
        </w:tc>
        <w:tc>
          <w:tcPr>
            <w:tcW w:w="0" w:type="auto"/>
            <w:tcBorders>
              <w:top w:val="nil"/>
              <w:left w:val="nil"/>
              <w:bottom w:val="nil"/>
              <w:right w:val="nil"/>
            </w:tcBorders>
            <w:tcMar>
              <w:top w:w="0" w:type="dxa"/>
              <w:left w:w="62" w:type="dxa"/>
              <w:bottom w:w="0" w:type="dxa"/>
              <w:right w:w="62" w:type="dxa"/>
            </w:tcMar>
          </w:tcPr>
          <w:p w:rsidR="00000000" w:rsidP="001B6F95">
            <w:pPr>
              <w:pStyle w:val="BodyText"/>
              <w:rPr>
                <w:lang w:val="en-NZ"/>
              </w:rPr>
            </w:pPr>
            <w:r w:rsidRPr="001B6F95">
              <w:rPr>
                <w:rStyle w:val="SpecialBold"/>
              </w:rPr>
              <w:t>3.1</w:t>
            </w:r>
          </w:p>
        </w:tc>
        <w:tc>
          <w:tcPr>
            <w:tcW w:w="0" w:type="auto"/>
            <w:tcBorders>
              <w:top w:val="nil"/>
              <w:left w:val="nil"/>
              <w:bottom w:val="nil"/>
              <w:right w:val="nil"/>
            </w:tcBorders>
            <w:tcMar>
              <w:top w:w="0" w:type="dxa"/>
              <w:left w:w="62" w:type="dxa"/>
              <w:bottom w:w="0" w:type="dxa"/>
              <w:right w:w="62" w:type="dxa"/>
            </w:tcMar>
          </w:tcPr>
          <w:p w:rsidR="00000000" w:rsidP="001B6F95">
            <w:pPr>
              <w:pStyle w:val="BodyText"/>
              <w:rPr>
                <w:lang w:val="en-NZ"/>
              </w:rPr>
            </w:pPr>
            <w:r w:rsidRPr="001B6F95">
              <w:t xml:space="preserve">Fuel and fluid levels are checked and required actions taken to replenish consumables </w:t>
            </w:r>
          </w:p>
        </w:tc>
      </w:tr>
      <w:tr w:rsidTr="000242D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1B6F95">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1B6F95">
            <w:pPr>
              <w:pStyle w:val="BodyText"/>
              <w:rPr>
                <w:lang w:val="en-NZ"/>
              </w:rPr>
            </w:pPr>
            <w:r w:rsidRPr="001B6F95">
              <w:rPr>
                <w:rStyle w:val="SpecialBold"/>
              </w:rPr>
              <w:t>3.2</w:t>
            </w:r>
          </w:p>
        </w:tc>
        <w:tc>
          <w:tcPr>
            <w:tcW w:w="0" w:type="auto"/>
            <w:tcBorders>
              <w:top w:val="nil"/>
              <w:left w:val="nil"/>
              <w:bottom w:val="nil"/>
              <w:right w:val="nil"/>
            </w:tcBorders>
            <w:tcMar>
              <w:top w:w="0" w:type="dxa"/>
              <w:left w:w="62" w:type="dxa"/>
              <w:bottom w:w="0" w:type="dxa"/>
              <w:right w:w="62" w:type="dxa"/>
            </w:tcMar>
          </w:tcPr>
          <w:p w:rsidR="00000000" w:rsidP="001B6F95">
            <w:pPr>
              <w:pStyle w:val="BodyText"/>
              <w:rPr>
                <w:lang w:val="en-NZ"/>
              </w:rPr>
            </w:pPr>
            <w:r w:rsidRPr="001B6F95">
              <w:t>Inspection is made of motive power unit in accordance with workplace procedures</w:t>
            </w:r>
          </w:p>
        </w:tc>
      </w:tr>
      <w:tr w:rsidTr="000242D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1B6F95">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1B6F95">
            <w:pPr>
              <w:pStyle w:val="BodyText"/>
              <w:rPr>
                <w:lang w:val="en-NZ"/>
              </w:rPr>
            </w:pPr>
            <w:r w:rsidRPr="001B6F95">
              <w:rPr>
                <w:rStyle w:val="SpecialBold"/>
              </w:rPr>
              <w:t>3.3</w:t>
            </w:r>
          </w:p>
        </w:tc>
        <w:tc>
          <w:tcPr>
            <w:tcW w:w="0" w:type="auto"/>
            <w:tcBorders>
              <w:top w:val="nil"/>
              <w:left w:val="nil"/>
              <w:bottom w:val="nil"/>
              <w:right w:val="nil"/>
            </w:tcBorders>
            <w:tcMar>
              <w:top w:w="0" w:type="dxa"/>
              <w:left w:w="62" w:type="dxa"/>
              <w:bottom w:w="0" w:type="dxa"/>
              <w:right w:w="62" w:type="dxa"/>
            </w:tcMar>
          </w:tcPr>
          <w:p w:rsidR="00000000" w:rsidP="001B6F95">
            <w:pPr>
              <w:pStyle w:val="BodyText"/>
              <w:rPr>
                <w:lang w:val="en-NZ"/>
              </w:rPr>
            </w:pPr>
            <w:r w:rsidRPr="001B6F95">
              <w:t>Identified faults and defects are fixed and/or reported and recorded in accordance with workplace procedures</w:t>
            </w:r>
          </w:p>
        </w:tc>
      </w:tr>
      <w:tr w:rsidTr="000242D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1B6F95">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1B6F95">
            <w:pPr>
              <w:pStyle w:val="BodyText"/>
              <w:rPr>
                <w:lang w:val="en-NZ"/>
              </w:rPr>
            </w:pPr>
            <w:r w:rsidRPr="001B6F95">
              <w:rPr>
                <w:rStyle w:val="SpecialBold"/>
              </w:rPr>
              <w:t>3.4</w:t>
            </w:r>
          </w:p>
        </w:tc>
        <w:tc>
          <w:tcPr>
            <w:tcW w:w="0" w:type="auto"/>
            <w:tcBorders>
              <w:top w:val="nil"/>
              <w:left w:val="nil"/>
              <w:bottom w:val="nil"/>
              <w:right w:val="nil"/>
            </w:tcBorders>
            <w:tcMar>
              <w:top w:w="0" w:type="dxa"/>
              <w:left w:w="62" w:type="dxa"/>
              <w:bottom w:w="0" w:type="dxa"/>
              <w:right w:w="62" w:type="dxa"/>
            </w:tcMar>
          </w:tcPr>
          <w:p w:rsidR="00000000" w:rsidP="001B6F95">
            <w:pPr>
              <w:pStyle w:val="BodyText"/>
              <w:rPr>
                <w:lang w:val="en-NZ"/>
              </w:rPr>
            </w:pPr>
            <w:r w:rsidRPr="001B6F95">
              <w:t>Faulty and defective equipment that presents a safety risk is isolated and tagged in accordance with workplace procedures and rail regulatio</w:t>
            </w:r>
            <w:r w:rsidRPr="001B6F95">
              <w:t>ns</w:t>
            </w:r>
          </w:p>
        </w:tc>
      </w:tr>
      <w:tr w:rsidTr="000242D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1B6F95">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1B6F95">
            <w:pPr>
              <w:pStyle w:val="BodyText"/>
              <w:rPr>
                <w:lang w:val="en-NZ"/>
              </w:rPr>
            </w:pPr>
            <w:r w:rsidRPr="001B6F95">
              <w:rPr>
                <w:rStyle w:val="SpecialBold"/>
              </w:rPr>
              <w:t>3.5</w:t>
            </w:r>
          </w:p>
        </w:tc>
        <w:tc>
          <w:tcPr>
            <w:tcW w:w="0" w:type="auto"/>
            <w:tcBorders>
              <w:top w:val="nil"/>
              <w:left w:val="nil"/>
              <w:bottom w:val="nil"/>
              <w:right w:val="nil"/>
            </w:tcBorders>
            <w:tcMar>
              <w:top w:w="0" w:type="dxa"/>
              <w:left w:w="62" w:type="dxa"/>
              <w:bottom w:w="0" w:type="dxa"/>
              <w:right w:w="62" w:type="dxa"/>
            </w:tcMar>
          </w:tcPr>
          <w:p w:rsidR="00000000" w:rsidP="001B6F95">
            <w:pPr>
              <w:pStyle w:val="BodyText"/>
              <w:rPr>
                <w:lang w:val="en-NZ"/>
              </w:rPr>
            </w:pPr>
            <w:r w:rsidRPr="001B6F95">
              <w:t>Outcomes of post-operational checks are recorded in accordance with workplace procedures</w:t>
            </w:r>
          </w:p>
        </w:tc>
      </w:tr>
      <w:tr w:rsidTr="000242D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1B6F95">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1B6F95">
            <w:pPr>
              <w:pStyle w:val="BodyText"/>
              <w:rPr>
                <w:lang w:val="en-NZ"/>
              </w:rPr>
            </w:pPr>
            <w:r w:rsidRPr="001B6F95">
              <w:rPr>
                <w:rStyle w:val="SpecialBold"/>
              </w:rPr>
              <w:t>3.6</w:t>
            </w:r>
          </w:p>
        </w:tc>
        <w:tc>
          <w:tcPr>
            <w:tcW w:w="0" w:type="auto"/>
            <w:tcBorders>
              <w:top w:val="nil"/>
              <w:left w:val="nil"/>
              <w:bottom w:val="nil"/>
              <w:right w:val="nil"/>
            </w:tcBorders>
            <w:tcMar>
              <w:top w:w="0" w:type="dxa"/>
              <w:left w:w="62" w:type="dxa"/>
              <w:bottom w:w="0" w:type="dxa"/>
              <w:right w:w="62" w:type="dxa"/>
            </w:tcMar>
          </w:tcPr>
          <w:p w:rsidR="00000000" w:rsidP="001B6F95">
            <w:pPr>
              <w:pStyle w:val="BodyText"/>
              <w:rPr>
                <w:lang w:val="en-NZ"/>
              </w:rPr>
            </w:pPr>
            <w:r w:rsidRPr="001B6F95">
              <w:t>Equipment is returned and stowed in accordance with workplace requirements</w:t>
            </w:r>
          </w:p>
        </w:tc>
      </w:tr>
      <w:tr w:rsidTr="000242D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1B6F95">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1B6F95">
            <w:pPr>
              <w:pStyle w:val="BodyText"/>
              <w:rPr>
                <w:lang w:val="en-NZ"/>
              </w:rPr>
            </w:pPr>
            <w:r w:rsidRPr="001B6F95">
              <w:rPr>
                <w:rStyle w:val="SpecialBold"/>
              </w:rPr>
              <w:t>3.7</w:t>
            </w:r>
          </w:p>
        </w:tc>
        <w:tc>
          <w:tcPr>
            <w:tcW w:w="0" w:type="auto"/>
            <w:tcBorders>
              <w:top w:val="nil"/>
              <w:left w:val="nil"/>
              <w:bottom w:val="nil"/>
              <w:right w:val="nil"/>
            </w:tcBorders>
            <w:tcMar>
              <w:top w:w="0" w:type="dxa"/>
              <w:left w:w="62" w:type="dxa"/>
              <w:bottom w:w="0" w:type="dxa"/>
              <w:right w:w="62" w:type="dxa"/>
            </w:tcMar>
          </w:tcPr>
          <w:p w:rsidR="00000000" w:rsidRPr="001B6F95" w:rsidP="001B6F95">
            <w:pPr>
              <w:pStyle w:val="BodyText"/>
            </w:pPr>
            <w:r w:rsidRPr="001B6F95">
              <w:t>Required safeworking and post-operational documentation is completed</w:t>
            </w:r>
            <w:r w:rsidRPr="001B6F95">
              <w:t xml:space="preserve"> in accordance with workplace procedures and rail regulations</w:t>
            </w:r>
          </w:p>
        </w:tc>
      </w:tr>
    </w:tbl>
    <w:p w:rsidR="000242D7" w:rsidP="001B6F95">
      <w:pPr>
        <w:pStyle w:val="NoPaddingFontSize1"/>
      </w:pPr>
    </w:p>
    <w:p w:rsidR="000242D7" w:rsidP="001B6F95">
      <w:pPr>
        <w:pStyle w:val="NoPaddingFontSize1"/>
      </w:pPr>
    </w:p>
    <w:p w:rsidR="00000000" w:rsidRPr="001B6F95" w:rsidP="001B6F95">
      <w:pPr>
        <w:pStyle w:val="Heading1"/>
      </w:pPr>
      <w:bookmarkStart w:id="7" w:name="O_1196454"/>
      <w:bookmarkEnd w:id="7"/>
      <w:r w:rsidRPr="001B6F95">
        <w:t>Foundation Skills</w:t>
      </w:r>
    </w:p>
    <w:tbl>
      <w:tblPr>
        <w:tblW w:w="9497" w:type="dxa"/>
        <w:tblLayout w:type="fixed"/>
        <w:tblCellMar>
          <w:left w:w="62" w:type="dxa"/>
          <w:right w:w="62" w:type="dxa"/>
        </w:tblCellMar>
        <w:tblLook w:val="0000"/>
      </w:tblPr>
      <w:tblGrid>
        <w:gridCol w:w="9497"/>
      </w:tblGrid>
      <w:tr w:rsidTr="001B6F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6F95" w:rsidP="001B6F95">
            <w:pPr>
              <w:pStyle w:val="BodyText"/>
            </w:pPr>
            <w:r w:rsidRPr="001B6F95">
              <w:t>Foundation skills essential to performance are explicit in the performance criteria of this unit of competency.</w:t>
            </w:r>
          </w:p>
        </w:tc>
      </w:tr>
    </w:tbl>
    <w:p w:rsidR="000242D7" w:rsidP="001B6F95">
      <w:pPr>
        <w:pStyle w:val="NoPaddingFontSize1"/>
      </w:pPr>
    </w:p>
    <w:p w:rsidR="000242D7" w:rsidP="001B6F95">
      <w:pPr>
        <w:pStyle w:val="NoPaddingFontSize1"/>
      </w:pPr>
    </w:p>
    <w:p w:rsidR="00000000" w:rsidRPr="001B6F95" w:rsidP="001B6F95">
      <w:pPr>
        <w:pStyle w:val="Heading1"/>
      </w:pPr>
      <w:bookmarkStart w:id="8" w:name="O_1196453"/>
      <w:bookmarkEnd w:id="8"/>
      <w:r w:rsidRPr="001B6F95">
        <w:t>Range of Conditions</w:t>
      </w:r>
    </w:p>
    <w:tbl>
      <w:tblPr>
        <w:tblW w:w="9497" w:type="dxa"/>
        <w:tblLayout w:type="fixed"/>
        <w:tblCellMar>
          <w:left w:w="62" w:type="dxa"/>
          <w:right w:w="62" w:type="dxa"/>
        </w:tblCellMar>
        <w:tblLook w:val="0000"/>
      </w:tblPr>
      <w:tblGrid>
        <w:gridCol w:w="9497"/>
      </w:tblGrid>
      <w:tr w:rsidTr="001B6F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6F95" w:rsidP="001B6F95">
            <w:pPr>
              <w:pStyle w:val="BodyText"/>
            </w:pPr>
            <w:r w:rsidRPr="001B6F95">
              <w:t>Range is restricted to essential operating conditions and any other variables essential to the work environment.</w:t>
            </w:r>
          </w:p>
        </w:tc>
      </w:tr>
    </w:tbl>
    <w:p w:rsidR="000242D7" w:rsidP="001B6F95">
      <w:pPr>
        <w:pStyle w:val="NoPaddingFontSize1"/>
      </w:pPr>
    </w:p>
    <w:p w:rsidR="000242D7" w:rsidP="001B6F95">
      <w:pPr>
        <w:pStyle w:val="NoPaddingFontSize1"/>
      </w:pPr>
    </w:p>
    <w:p w:rsidR="00000000" w:rsidRPr="001B6F95" w:rsidP="001B6F95">
      <w:pPr>
        <w:pStyle w:val="Heading1"/>
      </w:pPr>
      <w:bookmarkStart w:id="9" w:name="O_1196452"/>
      <w:bookmarkEnd w:id="9"/>
      <w:r w:rsidRPr="001B6F95">
        <w:t>Unit Mapping Information</w:t>
      </w:r>
    </w:p>
    <w:tbl>
      <w:tblPr>
        <w:tblW w:w="9497" w:type="dxa"/>
        <w:tblLayout w:type="fixed"/>
        <w:tblCellMar>
          <w:left w:w="62" w:type="dxa"/>
          <w:right w:w="62" w:type="dxa"/>
        </w:tblCellMar>
        <w:tblLook w:val="0000"/>
      </w:tblPr>
      <w:tblGrid>
        <w:gridCol w:w="9497"/>
      </w:tblGrid>
      <w:tr w:rsidTr="001B6F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6F95" w:rsidP="001B6F95">
            <w:pPr>
              <w:pStyle w:val="BodyText"/>
            </w:pPr>
            <w:r w:rsidRPr="001B6F95">
              <w:t>This unit replaces and is equivalent to TLIC3027A Stable a motive power unit.</w:t>
            </w:r>
          </w:p>
        </w:tc>
      </w:tr>
    </w:tbl>
    <w:p w:rsidR="000242D7" w:rsidP="001B6F95">
      <w:pPr>
        <w:pStyle w:val="NoPaddingFontSize1"/>
      </w:pPr>
    </w:p>
    <w:p w:rsidR="000242D7" w:rsidP="001B6F95">
      <w:pPr>
        <w:pStyle w:val="NoPaddingFontSize1"/>
      </w:pPr>
    </w:p>
    <w:p w:rsidR="00000000" w:rsidRPr="001B6F95" w:rsidP="001B6F95">
      <w:pPr>
        <w:pStyle w:val="Heading1"/>
      </w:pPr>
      <w:bookmarkStart w:id="10" w:name="O_1196461"/>
      <w:bookmarkEnd w:id="10"/>
      <w:r w:rsidRPr="001B6F95">
        <w:t>Links</w:t>
      </w:r>
    </w:p>
    <w:p w:rsidR="00000000" w:rsidRPr="001B6F95" w:rsidP="000242D7">
      <w:pPr>
        <w:pStyle w:val="BodyText"/>
      </w:pPr>
      <w:r w:rsidRPr="001B6F9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4A4698">
        <w:rPr>
          <w:rStyle w:val="Hyperlink"/>
        </w:rPr>
        <w:t>https://vetnet.gov.au/Pages/TrainingDocs.aspx?q=df441c6e-213d-43e3-874c-0b3f7036d851</w:t>
      </w:r>
      <w:r>
        <w:fldChar w:fldCharType="end"/>
      </w:r>
    </w:p>
    <w:p w:rsidR="00000000" w:rsidRPr="001B6F95" w:rsidP="000242D7">
      <w:pPr>
        <w:pStyle w:val="BodyText"/>
        <w:sectPr w:rsidSect="001B6F95">
          <w:headerReference w:type="default" r:id="rId10"/>
          <w:footerReference w:type="default" r:id="rId11"/>
          <w:pgSz w:w="11908" w:h="16833"/>
          <w:pgMar w:top="1702" w:right="1418" w:bottom="1702" w:left="1418" w:header="992" w:footer="992" w:gutter="0"/>
          <w:cols w:space="720"/>
          <w:noEndnote/>
          <w:docGrid w:linePitch="299"/>
        </w:sectPr>
      </w:pPr>
    </w:p>
    <w:p w:rsidR="00000000" w:rsidRPr="001B6F95" w:rsidP="001B6F95">
      <w:pPr>
        <w:pStyle w:val="SuperHeading"/>
      </w:pPr>
      <w:r w:rsidRPr="001B6F95">
        <w:t>Assessment Requirements for TLIC3027 Stable a mo</w:t>
      </w:r>
      <w:r w:rsidRPr="001B6F95">
        <w:t>tive power unit</w:t>
      </w:r>
    </w:p>
    <w:p w:rsidR="00000000" w:rsidRPr="001B6F95" w:rsidP="001B6F95">
      <w:pPr>
        <w:pStyle w:val="Heading1"/>
      </w:pPr>
      <w:bookmarkStart w:id="11" w:name="O_1196450"/>
      <w:bookmarkEnd w:id="11"/>
      <w:r w:rsidRPr="001B6F95">
        <w:t>Modification History</w:t>
      </w:r>
    </w:p>
    <w:tbl>
      <w:tblPr>
        <w:tblW w:w="9497" w:type="dxa"/>
        <w:tblLayout w:type="fixed"/>
        <w:tblCellMar>
          <w:left w:w="62" w:type="dxa"/>
          <w:right w:w="62" w:type="dxa"/>
        </w:tblCellMar>
        <w:tblLook w:val="0000"/>
      </w:tblPr>
      <w:tblGrid>
        <w:gridCol w:w="9497"/>
      </w:tblGrid>
      <w:tr w:rsidTr="001B6F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6F95" w:rsidP="001B6F95">
            <w:pPr>
              <w:pStyle w:val="BodyText"/>
            </w:pPr>
            <w:r w:rsidRPr="001B6F95">
              <w:rPr>
                <w:rStyle w:val="SpecialBold"/>
              </w:rPr>
              <w:t>Release 2.</w:t>
            </w:r>
            <w:r w:rsidRPr="001B6F95">
              <w:t xml:space="preserve"> This is the second release of this unit of competency in the TLI Transport and Logistics Training Package:</w:t>
            </w:r>
          </w:p>
          <w:p w:rsidR="00000000" w:rsidRPr="001B6F95" w:rsidP="001B6F95">
            <w:pPr>
              <w:pStyle w:val="ListBullet"/>
            </w:pPr>
            <w:r w:rsidRPr="001B6F95">
              <w:t>Minor terminology changes to Performance Criteria</w:t>
            </w:r>
          </w:p>
          <w:p w:rsidR="00000000" w:rsidRPr="001B6F95" w:rsidP="001B6F95">
            <w:pPr>
              <w:pStyle w:val="ListBullet"/>
            </w:pPr>
            <w:r w:rsidRPr="001B6F95">
              <w:t>Minor statement changes in Performance Evidence</w:t>
            </w:r>
          </w:p>
          <w:p w:rsidR="00000000" w:rsidRPr="001B6F95" w:rsidP="001B6F95">
            <w:pPr>
              <w:pStyle w:val="ListBullet"/>
            </w:pPr>
            <w:r w:rsidRPr="001B6F95">
              <w:t>Minor statement changes in Knowledge Evidence</w:t>
            </w:r>
          </w:p>
          <w:p w:rsidR="00000000" w:rsidP="001B6F95">
            <w:pPr>
              <w:pStyle w:val="ListBullet"/>
              <w:rPr>
                <w:lang w:val="en-NZ"/>
              </w:rPr>
            </w:pPr>
            <w:r w:rsidRPr="001B6F95">
              <w:t>Minor statement changes in Assessment Conditions.</w:t>
            </w:r>
          </w:p>
        </w:tc>
      </w:tr>
      <w:tr w:rsidTr="001B6F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6F95" w:rsidP="001B6F95">
            <w:pPr>
              <w:pStyle w:val="BodyText"/>
            </w:pPr>
            <w:r w:rsidRPr="001B6F95">
              <w:rPr>
                <w:rStyle w:val="SpecialBold"/>
              </w:rPr>
              <w:t>Release 1.</w:t>
            </w:r>
            <w:r w:rsidRPr="001B6F95">
              <w:t xml:space="preserve"> This is the first release of this unit of competency in the TLI Transport and Logistics Training Pac</w:t>
            </w:r>
            <w:r w:rsidRPr="001B6F95">
              <w:t>kage.</w:t>
            </w:r>
          </w:p>
        </w:tc>
      </w:tr>
    </w:tbl>
    <w:p w:rsidR="000242D7" w:rsidP="001B6F95">
      <w:pPr>
        <w:pStyle w:val="NoPaddingFontSize1"/>
      </w:pPr>
    </w:p>
    <w:p w:rsidR="000242D7" w:rsidP="001B6F95">
      <w:pPr>
        <w:pStyle w:val="NoPaddingFontSize1"/>
      </w:pPr>
    </w:p>
    <w:p w:rsidR="00000000" w:rsidRPr="001B6F95" w:rsidP="001B6F95">
      <w:pPr>
        <w:pStyle w:val="Heading1"/>
      </w:pPr>
      <w:bookmarkStart w:id="12" w:name="O_1196449"/>
      <w:bookmarkEnd w:id="12"/>
      <w:r w:rsidRPr="001B6F95">
        <w:t>Performance Evidence</w:t>
      </w:r>
    </w:p>
    <w:tbl>
      <w:tblPr>
        <w:tblW w:w="9497" w:type="dxa"/>
        <w:tblLayout w:type="fixed"/>
        <w:tblCellMar>
          <w:left w:w="62" w:type="dxa"/>
          <w:right w:w="62" w:type="dxa"/>
        </w:tblCellMar>
        <w:tblLook w:val="0000"/>
      </w:tblPr>
      <w:tblGrid>
        <w:gridCol w:w="9497"/>
      </w:tblGrid>
      <w:tr w:rsidTr="001B6F95">
        <w:tblPrEx>
          <w:tblW w:w="9497" w:type="dxa"/>
          <w:tblLayout w:type="fixed"/>
          <w:tblCellMar>
            <w:left w:w="62" w:type="dxa"/>
            <w:right w:w="62" w:type="dxa"/>
          </w:tblCellMar>
          <w:tblLook w:val="0000"/>
        </w:tblPrEx>
        <w:trPr>
          <w:trHeight w:val="790"/>
        </w:trPr>
        <w:tc>
          <w:tcPr>
            <w:tcW w:w="9497" w:type="dxa"/>
            <w:tcBorders>
              <w:top w:val="nil"/>
              <w:left w:val="nil"/>
              <w:bottom w:val="nil"/>
              <w:right w:val="nil"/>
            </w:tcBorders>
            <w:tcMar>
              <w:top w:w="0" w:type="dxa"/>
              <w:left w:w="62" w:type="dxa"/>
              <w:bottom w:w="0" w:type="dxa"/>
              <w:right w:w="62" w:type="dxa"/>
            </w:tcMar>
          </w:tcPr>
          <w:p w:rsidR="00000000" w:rsidP="001B6F95">
            <w:pPr>
              <w:pStyle w:val="BodyText"/>
              <w:rPr>
                <w:lang w:val="en-NZ"/>
              </w:rPr>
            </w:pPr>
            <w:r w:rsidRPr="001B6F95">
              <w:t>Evidence required to demonstrate competence in this unit must be relevant to and satisfy all of the requirements of the elements and performance criteria on at least one occasion and include:</w:t>
            </w:r>
          </w:p>
        </w:tc>
      </w:tr>
      <w:tr w:rsidTr="001B6F95">
        <w:tblPrEx>
          <w:tblW w:w="9497" w:type="dxa"/>
          <w:tblLayout w:type="fixed"/>
          <w:tblCellMar>
            <w:left w:w="62" w:type="dxa"/>
            <w:right w:w="62" w:type="dxa"/>
          </w:tblCellMar>
          <w:tblLook w:val="0000"/>
        </w:tblPrEx>
        <w:trPr>
          <w:trHeight w:val="2752"/>
        </w:trPr>
        <w:tc>
          <w:tcPr>
            <w:tcW w:w="9497" w:type="dxa"/>
            <w:tcBorders>
              <w:top w:val="nil"/>
              <w:left w:val="nil"/>
              <w:bottom w:val="nil"/>
              <w:right w:val="nil"/>
            </w:tcBorders>
            <w:tcMar>
              <w:top w:w="0" w:type="dxa"/>
              <w:left w:w="62" w:type="dxa"/>
              <w:bottom w:w="0" w:type="dxa"/>
              <w:right w:w="62" w:type="dxa"/>
            </w:tcMar>
          </w:tcPr>
          <w:p w:rsidR="00000000" w:rsidRPr="001B6F95" w:rsidP="001B6F95">
            <w:pPr>
              <w:pStyle w:val="ListBullet"/>
            </w:pPr>
            <w:r w:rsidRPr="001B6F95">
              <w:t>adapting to differences in motive power units and associated equipment and procedures</w:t>
            </w:r>
          </w:p>
          <w:p w:rsidR="00000000" w:rsidRPr="001B6F95" w:rsidP="001B6F95">
            <w:pPr>
              <w:pStyle w:val="ListBullet"/>
            </w:pPr>
            <w:r w:rsidRPr="001B6F95">
              <w:t xml:space="preserve">carrying out post-operational checks on a range of motive power units in accordance with workplace procedures </w:t>
            </w:r>
          </w:p>
          <w:p w:rsidR="00000000" w:rsidRPr="001B6F95" w:rsidP="001B6F95">
            <w:pPr>
              <w:pStyle w:val="ListBullet"/>
            </w:pPr>
            <w:r w:rsidRPr="001B6F95">
              <w:t>communicating effectively with others</w:t>
            </w:r>
          </w:p>
          <w:p w:rsidR="00000000" w:rsidRPr="001B6F95" w:rsidP="001B6F95">
            <w:pPr>
              <w:pStyle w:val="ListBullet"/>
            </w:pPr>
            <w:r w:rsidRPr="001B6F95">
              <w:t>conducting a visual i</w:t>
            </w:r>
            <w:r w:rsidRPr="001B6F95">
              <w:t>nspection of a motive power unit</w:t>
            </w:r>
          </w:p>
          <w:p w:rsidR="00000000" w:rsidRPr="001B6F95" w:rsidP="001B6F95">
            <w:pPr>
              <w:pStyle w:val="ListBullet"/>
            </w:pPr>
            <w:r w:rsidRPr="001B6F95">
              <w:t>documenting outcomes of motive power unit inspection</w:t>
            </w:r>
          </w:p>
          <w:p w:rsidR="00000000" w:rsidRPr="001B6F95" w:rsidP="001B6F95">
            <w:pPr>
              <w:pStyle w:val="ListBullet"/>
            </w:pPr>
            <w:r w:rsidRPr="001B6F95">
              <w:t>identifying and assessing motive power unit defects and deficiencies and taking appropriate actions to report, isolate, repair or replace identified defective equipment i</w:t>
            </w:r>
            <w:r w:rsidRPr="001B6F95">
              <w:t>n accordance with workplace procedures</w:t>
            </w:r>
          </w:p>
          <w:p w:rsidR="00000000" w:rsidRPr="001B6F95" w:rsidP="001B6F95">
            <w:pPr>
              <w:pStyle w:val="ListBullet"/>
            </w:pPr>
            <w:r w:rsidRPr="001B6F95">
              <w:t xml:space="preserve">identifying job hazards and taking required actions to minimise, control or eliminate identified hazards </w:t>
            </w:r>
          </w:p>
          <w:p w:rsidR="00000000" w:rsidRPr="001B6F95" w:rsidP="001B6F95">
            <w:pPr>
              <w:pStyle w:val="ListBullet"/>
            </w:pPr>
            <w:r w:rsidRPr="001B6F95">
              <w:t>interpreting and following operational instructions and prioritising work</w:t>
            </w:r>
          </w:p>
          <w:p w:rsidR="00000000" w:rsidRPr="001B6F95" w:rsidP="001B6F95">
            <w:pPr>
              <w:pStyle w:val="ListBullet"/>
            </w:pPr>
            <w:r w:rsidRPr="001B6F95">
              <w:t>modifying activities depending on ope</w:t>
            </w:r>
            <w:r w:rsidRPr="001B6F95">
              <w:t>rational contingencies, risk situations and environments</w:t>
            </w:r>
          </w:p>
          <w:p w:rsidR="00000000" w:rsidRPr="001B6F95" w:rsidP="001B6F95">
            <w:pPr>
              <w:pStyle w:val="ListBullet"/>
            </w:pPr>
            <w:r w:rsidRPr="001B6F95">
              <w:t xml:space="preserve">reading and interpreting relevant instructions, procedures and information </w:t>
            </w:r>
          </w:p>
          <w:p w:rsidR="00000000" w:rsidRPr="001B6F95" w:rsidP="001B6F95">
            <w:pPr>
              <w:pStyle w:val="ListBullet"/>
            </w:pPr>
            <w:r w:rsidRPr="001B6F95">
              <w:t>recognising problems that may arise when stabling a motive power unit and taking appropriate actions.</w:t>
            </w:r>
          </w:p>
        </w:tc>
      </w:tr>
    </w:tbl>
    <w:p w:rsidR="000242D7" w:rsidP="001B6F95">
      <w:pPr>
        <w:pStyle w:val="NoPaddingFontSize1"/>
      </w:pPr>
    </w:p>
    <w:p w:rsidR="000242D7" w:rsidP="001B6F95">
      <w:pPr>
        <w:pStyle w:val="NoPaddingFontSize1"/>
      </w:pPr>
    </w:p>
    <w:p w:rsidR="00000000" w:rsidRPr="001B6F95" w:rsidP="001B6F95">
      <w:pPr>
        <w:pStyle w:val="Heading1"/>
      </w:pPr>
      <w:bookmarkStart w:id="13" w:name="O_1196448"/>
      <w:bookmarkEnd w:id="13"/>
      <w:r w:rsidRPr="001B6F95">
        <w:t>Knowledge Evidence</w:t>
      </w:r>
    </w:p>
    <w:tbl>
      <w:tblPr>
        <w:tblW w:w="9497" w:type="dxa"/>
        <w:tblLayout w:type="fixed"/>
        <w:tblCellMar>
          <w:left w:w="62" w:type="dxa"/>
          <w:right w:w="62" w:type="dxa"/>
        </w:tblCellMar>
        <w:tblLook w:val="0000"/>
      </w:tblPr>
      <w:tblGrid>
        <w:gridCol w:w="9497"/>
      </w:tblGrid>
      <w:tr w:rsidTr="001B6F95">
        <w:tblPrEx>
          <w:tblW w:w="9497" w:type="dxa"/>
          <w:tblLayout w:type="fixed"/>
          <w:tblCellMar>
            <w:left w:w="62" w:type="dxa"/>
            <w:right w:w="62" w:type="dxa"/>
          </w:tblCellMar>
          <w:tblLook w:val="0000"/>
        </w:tblPrEx>
        <w:trPr>
          <w:trHeight w:val="1108"/>
        </w:trPr>
        <w:tc>
          <w:tcPr>
            <w:tcW w:w="9497" w:type="dxa"/>
            <w:tcBorders>
              <w:top w:val="nil"/>
              <w:left w:val="nil"/>
              <w:bottom w:val="nil"/>
              <w:right w:val="nil"/>
            </w:tcBorders>
            <w:tcMar>
              <w:top w:w="0" w:type="dxa"/>
              <w:left w:w="62" w:type="dxa"/>
              <w:bottom w:w="0" w:type="dxa"/>
              <w:right w:w="62" w:type="dxa"/>
            </w:tcMar>
          </w:tcPr>
          <w:p w:rsidR="00000000" w:rsidP="001B6F95">
            <w:pPr>
              <w:pStyle w:val="BodyText"/>
              <w:rPr>
                <w:lang w:val="en-NZ"/>
              </w:rPr>
            </w:pPr>
            <w:r w:rsidRPr="001B6F95">
              <w:t>Evidence required to demonstrate competence in this unit must be relevant to and satisfy all of the requirements of the elements and performance criteria and include knowledge of:</w:t>
            </w:r>
          </w:p>
        </w:tc>
      </w:tr>
      <w:tr w:rsidTr="001B6F95">
        <w:tblPrEx>
          <w:tblW w:w="9497" w:type="dxa"/>
          <w:tblLayout w:type="fixed"/>
          <w:tblCellMar>
            <w:left w:w="62" w:type="dxa"/>
            <w:right w:w="62" w:type="dxa"/>
          </w:tblCellMar>
          <w:tblLook w:val="0000"/>
        </w:tblPrEx>
        <w:trPr>
          <w:trHeight w:val="284"/>
        </w:trPr>
        <w:tc>
          <w:tcPr>
            <w:tcW w:w="9497" w:type="dxa"/>
            <w:tcBorders>
              <w:top w:val="nil"/>
              <w:left w:val="nil"/>
              <w:bottom w:val="nil"/>
              <w:right w:val="nil"/>
            </w:tcBorders>
            <w:tcMar>
              <w:top w:w="0" w:type="dxa"/>
              <w:left w:w="62" w:type="dxa"/>
              <w:bottom w:w="0" w:type="dxa"/>
              <w:right w:w="62" w:type="dxa"/>
            </w:tcMar>
          </w:tcPr>
          <w:p w:rsidR="00000000" w:rsidRPr="001B6F95" w:rsidP="001B6F95">
            <w:pPr>
              <w:pStyle w:val="ListBullet"/>
            </w:pPr>
            <w:r w:rsidRPr="001B6F95">
              <w:t>applicable state/territory legislated rail saf</w:t>
            </w:r>
            <w:r w:rsidRPr="001B6F95">
              <w:t>ety requirements, relevant codes of practice and/or guidelines</w:t>
            </w:r>
          </w:p>
          <w:p w:rsidR="00000000" w:rsidRPr="001B6F95" w:rsidP="001B6F95">
            <w:pPr>
              <w:pStyle w:val="ListBullet"/>
            </w:pPr>
            <w:r w:rsidRPr="001B6F95">
              <w:t>motive power unit controls, instruments and indicators, and their purpose, location and use</w:t>
            </w:r>
          </w:p>
          <w:p w:rsidR="00000000" w:rsidRPr="001B6F95" w:rsidP="001B6F95">
            <w:pPr>
              <w:pStyle w:val="ListBullet"/>
            </w:pPr>
            <w:r w:rsidRPr="001B6F95">
              <w:t>operating controls to start, accelerate, decelerate and stop a motive power unit</w:t>
            </w:r>
          </w:p>
          <w:p w:rsidR="00000000" w:rsidRPr="001B6F95" w:rsidP="001B6F95">
            <w:pPr>
              <w:pStyle w:val="ListBullet"/>
            </w:pPr>
            <w:r w:rsidRPr="001B6F95">
              <w:t>relevant safety, work health and safety (WHS)/occupational health and safety (OHS), and environmental procedures and regulations</w:t>
            </w:r>
          </w:p>
          <w:p w:rsidR="00000000" w:rsidRPr="001B6F95" w:rsidP="001B6F95">
            <w:pPr>
              <w:pStyle w:val="ListBullet"/>
            </w:pPr>
            <w:r w:rsidRPr="001B6F95">
              <w:t>speed and load limit compliance requirements</w:t>
            </w:r>
          </w:p>
          <w:p w:rsidR="00000000" w:rsidRPr="001B6F95" w:rsidP="001B6F95">
            <w:pPr>
              <w:pStyle w:val="ListBullet"/>
            </w:pPr>
            <w:r w:rsidRPr="001B6F95">
              <w:t>typical defects that can occur on a motive power unit and related actions that sho</w:t>
            </w:r>
            <w:r w:rsidRPr="001B6F95">
              <w:t>uld be taken</w:t>
            </w:r>
          </w:p>
          <w:p w:rsidR="00000000" w:rsidRPr="001B6F95" w:rsidP="001B6F95">
            <w:pPr>
              <w:pStyle w:val="ListBullet"/>
            </w:pPr>
            <w:r w:rsidRPr="001B6F95">
              <w:t>workplace procedures for:</w:t>
            </w:r>
          </w:p>
          <w:p w:rsidR="00000000" w:rsidRPr="001B6F95" w:rsidP="001B6F95">
            <w:pPr>
              <w:pStyle w:val="ListBullet2"/>
            </w:pPr>
            <w:r w:rsidRPr="001B6F95">
              <w:t>braking and safety system</w:t>
            </w:r>
          </w:p>
          <w:p w:rsidR="00000000" w:rsidRPr="001B6F95" w:rsidP="001B6F95">
            <w:pPr>
              <w:pStyle w:val="ListBullet2"/>
            </w:pPr>
            <w:r w:rsidRPr="001B6F95">
              <w:t>completing relevant documentation when stabling a motive power unit</w:t>
            </w:r>
          </w:p>
          <w:p w:rsidR="00000000" w:rsidRPr="001B6F95" w:rsidP="001B6F95">
            <w:pPr>
              <w:pStyle w:val="ListBullet2"/>
            </w:pPr>
            <w:r w:rsidRPr="001B6F95">
              <w:t xml:space="preserve">emergency response procedures </w:t>
            </w:r>
          </w:p>
          <w:p w:rsidR="00000000" w:rsidRPr="001B6F95" w:rsidP="001B6F95">
            <w:pPr>
              <w:pStyle w:val="ListBullet2"/>
            </w:pPr>
            <w:r w:rsidRPr="001B6F95">
              <w:t>identifying equipment defects and assessing for appropriate actions</w:t>
            </w:r>
          </w:p>
          <w:p w:rsidR="00000000" w:rsidRPr="001B6F95" w:rsidP="001B6F95">
            <w:pPr>
              <w:pStyle w:val="ListBullet2"/>
            </w:pPr>
            <w:r w:rsidRPr="001B6F95">
              <w:t>managing hazardous situ</w:t>
            </w:r>
            <w:r w:rsidRPr="001B6F95">
              <w:t>ations when operating and stabling a motive power unit</w:t>
            </w:r>
          </w:p>
          <w:p w:rsidR="00000000" w:rsidRPr="001B6F95" w:rsidP="001B6F95">
            <w:pPr>
              <w:pStyle w:val="ListBullet2"/>
            </w:pPr>
            <w:r w:rsidRPr="001B6F95">
              <w:t>minor preventative maintenance, cleaning, lubricating and servicing a motive power unit</w:t>
            </w:r>
          </w:p>
          <w:p w:rsidR="00000000" w:rsidRPr="001B6F95" w:rsidP="001B6F95">
            <w:pPr>
              <w:pStyle w:val="ListBullet2"/>
            </w:pPr>
            <w:r w:rsidRPr="001B6F95">
              <w:t>operating and shutting down auxiliary systems</w:t>
            </w:r>
          </w:p>
          <w:p w:rsidR="00000000" w:rsidRPr="001B6F95" w:rsidP="001B6F95">
            <w:pPr>
              <w:pStyle w:val="ListBullet2"/>
            </w:pPr>
            <w:r w:rsidRPr="001B6F95">
              <w:t>operating electronic communications equipment protocol</w:t>
            </w:r>
          </w:p>
          <w:p w:rsidR="00000000" w:rsidRPr="001B6F95" w:rsidP="001B6F95">
            <w:pPr>
              <w:pStyle w:val="ListBullet2"/>
            </w:pPr>
            <w:r w:rsidRPr="001B6F95">
              <w:t>operating requirements to stable a motive power unit</w:t>
            </w:r>
          </w:p>
          <w:p w:rsidR="00000000" w:rsidRPr="001B6F95" w:rsidP="001B6F95">
            <w:pPr>
              <w:pStyle w:val="ListBullet2"/>
            </w:pPr>
            <w:r w:rsidRPr="001B6F95">
              <w:t>securing a motive power unit to prevent roll away</w:t>
            </w:r>
          </w:p>
          <w:p w:rsidR="00000000" w:rsidRPr="001B6F95" w:rsidP="001B6F95">
            <w:pPr>
              <w:pStyle w:val="ListBullet2"/>
            </w:pPr>
            <w:r w:rsidRPr="001B6F95">
              <w:t>stabling a motive power unit.</w:t>
            </w:r>
          </w:p>
        </w:tc>
      </w:tr>
    </w:tbl>
    <w:p w:rsidR="000242D7" w:rsidP="001B6F95">
      <w:pPr>
        <w:pStyle w:val="NoPaddingFontSize1"/>
      </w:pPr>
    </w:p>
    <w:p w:rsidR="000242D7" w:rsidP="001B6F95">
      <w:pPr>
        <w:pStyle w:val="NoPaddingFontSize1"/>
      </w:pPr>
    </w:p>
    <w:p w:rsidR="00000000" w:rsidRPr="001B6F95" w:rsidP="001B6F95">
      <w:pPr>
        <w:pStyle w:val="Heading1"/>
      </w:pPr>
      <w:bookmarkStart w:id="14" w:name="O_1196447"/>
      <w:bookmarkEnd w:id="14"/>
      <w:r w:rsidRPr="001B6F95">
        <w:t>Assessment Conditions</w:t>
      </w:r>
    </w:p>
    <w:tbl>
      <w:tblPr>
        <w:tblW w:w="9497" w:type="dxa"/>
        <w:tblLayout w:type="fixed"/>
        <w:tblCellMar>
          <w:left w:w="62" w:type="dxa"/>
          <w:right w:w="62" w:type="dxa"/>
        </w:tblCellMar>
        <w:tblLook w:val="0000"/>
      </w:tblPr>
      <w:tblGrid>
        <w:gridCol w:w="9497"/>
      </w:tblGrid>
      <w:tr w:rsidTr="001B6F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6F95" w:rsidP="001B6F95">
            <w:pPr>
              <w:pStyle w:val="BodyText"/>
            </w:pPr>
            <w:r w:rsidRPr="001B6F95">
              <w:t>Assessors must hold credentials specified within the Standards for Registered T</w:t>
            </w:r>
            <w:r w:rsidRPr="001B6F95">
              <w:t xml:space="preserve">raining Organisations current at the time of assessment. </w:t>
            </w:r>
          </w:p>
          <w:p w:rsidR="00000000" w:rsidRPr="001B6F95" w:rsidP="001B6F95">
            <w:pPr>
              <w:pStyle w:val="BodyText"/>
            </w:pPr>
            <w:r w:rsidRPr="001B6F95">
              <w:t xml:space="preserve">Assessment must satisfy the Principles of Assessment and Rules of Evidence and all regulatory requirements included within the Standards for Registered Training Organisations current at the time of </w:t>
            </w:r>
            <w:r w:rsidRPr="001B6F95">
              <w:t>assessment.</w:t>
            </w:r>
          </w:p>
          <w:p w:rsidR="00000000" w:rsidRPr="001B6F95" w:rsidP="001B6F95">
            <w:pPr>
              <w:pStyle w:val="BodyText"/>
            </w:pPr>
            <w:r w:rsidRPr="001B6F95">
              <w:t>Assessment must occur in workplace operational situations where it is appropriate to do so; where this is not appropriate, assessment must occur in simulated workplace operational situations that replicate rail workplace conditions.</w:t>
            </w:r>
          </w:p>
          <w:p w:rsidR="00000000" w:rsidRPr="001B6F95" w:rsidP="001B6F95">
            <w:pPr>
              <w:pStyle w:val="BodyText"/>
            </w:pPr>
            <w:r w:rsidRPr="001B6F95">
              <w:t>Assessment processes and techniques must be appropriate to the language, literacy and numeracy requirements of the work being performed and the needs of the candidate.</w:t>
            </w:r>
          </w:p>
          <w:p w:rsidR="00000000" w:rsidRPr="001B6F95" w:rsidP="001B6F95">
            <w:pPr>
              <w:pStyle w:val="BodyText"/>
            </w:pPr>
            <w:r w:rsidRPr="001B6F95">
              <w:t>Resources for assessment must include access to:</w:t>
            </w:r>
          </w:p>
          <w:p w:rsidR="00000000" w:rsidRPr="001B6F95" w:rsidP="001B6F95">
            <w:pPr>
              <w:pStyle w:val="ListBullet"/>
            </w:pPr>
            <w:r w:rsidRPr="001B6F95">
              <w:t>a range of relevant exercises, case st</w:t>
            </w:r>
            <w:r w:rsidRPr="001B6F95">
              <w:t>udies and/or simulations</w:t>
            </w:r>
          </w:p>
          <w:p w:rsidR="00000000" w:rsidRPr="001B6F95" w:rsidP="001B6F95">
            <w:pPr>
              <w:pStyle w:val="ListBullet"/>
            </w:pPr>
            <w:r w:rsidRPr="001B6F95">
              <w:t>relevant and appropriate materials, tools, equipment and personal protective equipment (PPE) currently used in industry</w:t>
            </w:r>
          </w:p>
          <w:p w:rsidR="00000000" w:rsidRPr="001B6F95" w:rsidP="001B6F95">
            <w:pPr>
              <w:pStyle w:val="ListBullet"/>
            </w:pPr>
            <w:r w:rsidRPr="001B6F95">
              <w:t>applicable documentation including workplace procedures, regulations, codes of practice and operation manuals.</w:t>
            </w:r>
          </w:p>
        </w:tc>
      </w:tr>
    </w:tbl>
    <w:p w:rsidR="00000000" w:rsidRPr="001B6F95" w:rsidP="001B6F95">
      <w:pPr>
        <w:pStyle w:val="NoPaddingFontSize1"/>
      </w:pPr>
    </w:p>
    <w:p w:rsidR="00000000" w:rsidRPr="001B6F95" w:rsidP="001B6F95">
      <w:pPr>
        <w:pStyle w:val="AllowPageBreak"/>
      </w:pPr>
    </w:p>
    <w:p w:rsidR="00000000" w:rsidRPr="001B6F95" w:rsidP="001B6F95">
      <w:pPr>
        <w:pStyle w:val="Heading1"/>
      </w:pPr>
      <w:bookmarkStart w:id="15" w:name="O_1196462"/>
      <w:bookmarkEnd w:id="15"/>
      <w:r w:rsidRPr="001B6F95">
        <w:t>Links</w:t>
      </w:r>
    </w:p>
    <w:p w:rsidR="00000000" w:rsidRPr="001B6F95" w:rsidP="000242D7">
      <w:pPr>
        <w:pStyle w:val="BodyText"/>
      </w:pPr>
      <w:r w:rsidRPr="001B6F9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4A4698">
        <w:rPr>
          <w:rStyle w:val="Hyperlink"/>
        </w:rPr>
        <w:t>https://vetnet.gov.au/Pages/TrainingDocs.aspx?q=df441c6e-213d-43e3-874c-0b3f7036d851</w:t>
      </w:r>
      <w:r>
        <w:fldChar w:fldCharType="end"/>
      </w:r>
    </w:p>
    <w:p w:rsidR="00000000" w:rsidRPr="001B6F95" w:rsidP="001B6F95"/>
    <w:sectPr w:rsidSect="001B6F9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F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F95" w:rsidRPr="000242D7" w:rsidP="000242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F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2D7" w:rsidP="001B6F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242D7" w:rsidP="001B6F9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0242D7" w:rsidP="001B6F9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F95" w:rsidP="001B6F95">
    <w:pPr>
      <w:pStyle w:val="Footer"/>
      <w:framePr w:wrap="around"/>
    </w:pPr>
    <w:r>
      <w:fldChar w:fldCharType="begin"/>
    </w:r>
    <w:r>
      <w:instrText xml:space="preserve"> DOCPROPERTY  Subject  \* MERGEFORMAT </w:instrText>
    </w:r>
    <w:r>
      <w:fldChar w:fldCharType="separate"/>
    </w:r>
    <w:r w:rsidR="000242D7">
      <w:t>Approved</w:t>
    </w:r>
    <w:r w:rsidR="000242D7">
      <w:fldChar w:fldCharType="end"/>
    </w:r>
    <w:r>
      <w:tab/>
      <w:t xml:space="preserve">Page </w:t>
    </w:r>
    <w:r>
      <w:fldChar w:fldCharType="begin"/>
    </w:r>
    <w:r>
      <w:instrText xml:space="preserve"> PAGE  \* Arabic  \* MERGEFORMAT </w:instrText>
    </w:r>
    <w:r>
      <w:fldChar w:fldCharType="separate"/>
    </w:r>
    <w:r w:rsidR="000242D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242D7">
      <w:rPr>
        <w:noProof/>
      </w:rPr>
      <w:t>4</w:t>
    </w:r>
    <w:r>
      <w:rPr>
        <w:noProof/>
      </w:rPr>
      <w:fldChar w:fldCharType="end"/>
    </w:r>
  </w:p>
  <w:p w:rsidR="001B6F95" w:rsidP="001B6F95">
    <w:pPr>
      <w:pStyle w:val="Footer"/>
      <w:framePr w:wrap="around"/>
    </w:pPr>
    <w:r>
      <w:t xml:space="preserve">© Commonwealth of Australia, </w:t>
    </w:r>
    <w:r>
      <w:fldChar w:fldCharType="begin"/>
    </w:r>
    <w:r>
      <w:instrText xml:space="preserve"> DATE  \@ "yyyy"  \* MERGEFORMAT </w:instrText>
    </w:r>
    <w:r>
      <w:fldChar w:fldCharType="separate"/>
    </w:r>
    <w:r w:rsidR="000242D7">
      <w:rPr>
        <w:noProof/>
      </w:rPr>
      <w:t>2025</w:t>
    </w:r>
    <w:r>
      <w:fldChar w:fldCharType="end"/>
    </w:r>
    <w:r>
      <w:tab/>
    </w:r>
    <w:r>
      <w:fldChar w:fldCharType="begin"/>
    </w:r>
    <w:r>
      <w:instrText xml:space="preserve"> DOCPROPERTY  Author  \* MERGEFORMAT </w:instrText>
    </w:r>
    <w:r>
      <w:fldChar w:fldCharType="separate"/>
    </w:r>
    <w:r w:rsidR="000242D7">
      <w:t>Industry Skills Australia</w:t>
    </w:r>
    <w:r w:rsidR="000242D7">
      <w:fldChar w:fldCharType="end"/>
    </w:r>
  </w:p>
  <w:p w:rsidR="001B6F95" w:rsidP="001B6F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F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2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6F95" w:rsidRPr="000242D7" w:rsidP="000242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F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2D7" w:rsidRPr="002D2AF8" w:rsidP="001B6F95">
    <w:pPr>
      <w:pStyle w:val="Header"/>
      <w:framePr w:wrap="around"/>
    </w:pPr>
    <w:r>
      <w:fldChar w:fldCharType="begin"/>
    </w:r>
    <w:r>
      <w:instrText xml:space="preserve"> TITLE   \* MERGEFORMAT </w:instrText>
    </w:r>
    <w:r>
      <w:fldChar w:fldCharType="separate"/>
    </w:r>
    <w:r>
      <w:t>TLIC3027 Stable a motive power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242D7" w:rsidP="001B6F9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F95" w:rsidRPr="002D2AF8" w:rsidP="001B6F95">
    <w:pPr>
      <w:pStyle w:val="Header"/>
      <w:framePr w:wrap="around"/>
    </w:pPr>
    <w:r>
      <w:fldChar w:fldCharType="begin"/>
    </w:r>
    <w:r>
      <w:instrText xml:space="preserve"> TITLE   \* MERGEFORMAT </w:instrText>
    </w:r>
    <w:r>
      <w:fldChar w:fldCharType="separate"/>
    </w:r>
    <w:r w:rsidR="000242D7">
      <w:t>TLIC3027 Stable a motive power unit</w:t>
    </w:r>
    <w:r w:rsidR="000242D7">
      <w:fldChar w:fldCharType="end"/>
    </w:r>
    <w:r>
      <w:tab/>
      <w:t xml:space="preserve">Date this document was generated: </w:t>
    </w:r>
    <w:r>
      <w:fldChar w:fldCharType="begin"/>
    </w:r>
    <w:r>
      <w:instrText xml:space="preserve"> CREATEDATE  \@ "d MMMM yyyy"  \* MERGEFORMAT </w:instrText>
    </w:r>
    <w:r>
      <w:fldChar w:fldCharType="separate"/>
    </w:r>
    <w:r w:rsidR="000242D7">
      <w:rPr>
        <w:noProof/>
      </w:rPr>
      <w:t>1 March 2025</w:t>
    </w:r>
    <w:r>
      <w:fldChar w:fldCharType="end"/>
    </w:r>
  </w:p>
  <w:p w:rsidR="001B6F95" w:rsidP="001B6F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3075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625B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22B5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6F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6F95"/>
    <w:pPr>
      <w:spacing w:before="360" w:after="60"/>
      <w:outlineLvl w:val="0"/>
    </w:pPr>
    <w:rPr>
      <w:sz w:val="32"/>
    </w:rPr>
  </w:style>
  <w:style w:type="paragraph" w:styleId="Heading2">
    <w:name w:val="heading 2"/>
    <w:basedOn w:val="HeadingBase"/>
    <w:next w:val="BodyText"/>
    <w:link w:val="Heading2Char"/>
    <w:qFormat/>
    <w:rsid w:val="001B6F95"/>
    <w:pPr>
      <w:keepLines/>
      <w:spacing w:before="240" w:after="120"/>
      <w:outlineLvl w:val="1"/>
    </w:pPr>
    <w:rPr>
      <w:sz w:val="28"/>
      <w:szCs w:val="40"/>
    </w:rPr>
  </w:style>
  <w:style w:type="paragraph" w:styleId="Heading3">
    <w:name w:val="heading 3"/>
    <w:basedOn w:val="HeadingBase"/>
    <w:next w:val="BodyText"/>
    <w:link w:val="Heading3Char"/>
    <w:qFormat/>
    <w:rsid w:val="001B6F95"/>
    <w:pPr>
      <w:spacing w:before="180" w:after="120"/>
      <w:outlineLvl w:val="2"/>
    </w:pPr>
    <w:rPr>
      <w:spacing w:val="-10"/>
      <w:kern w:val="32"/>
    </w:rPr>
  </w:style>
  <w:style w:type="paragraph" w:styleId="Heading4">
    <w:name w:val="heading 4"/>
    <w:basedOn w:val="HeadingBase"/>
    <w:next w:val="BodyText"/>
    <w:link w:val="Heading4Char"/>
    <w:qFormat/>
    <w:rsid w:val="001B6F95"/>
    <w:pPr>
      <w:spacing w:before="160" w:after="120"/>
      <w:outlineLvl w:val="3"/>
    </w:pPr>
    <w:rPr>
      <w:sz w:val="22"/>
    </w:rPr>
  </w:style>
  <w:style w:type="paragraph" w:styleId="Heading5">
    <w:name w:val="heading 5"/>
    <w:basedOn w:val="HeadingBase"/>
    <w:next w:val="Normal"/>
    <w:link w:val="Heading5Char"/>
    <w:qFormat/>
    <w:rsid w:val="001B6F95"/>
    <w:pPr>
      <w:spacing w:before="80"/>
      <w:outlineLvl w:val="4"/>
    </w:pPr>
    <w:rPr>
      <w:color w:val="918585"/>
      <w:sz w:val="20"/>
    </w:rPr>
  </w:style>
  <w:style w:type="paragraph" w:styleId="Heading6">
    <w:name w:val="heading 6"/>
    <w:basedOn w:val="HeadingBase"/>
    <w:next w:val="Normal"/>
    <w:link w:val="Heading6Char"/>
    <w:qFormat/>
    <w:rsid w:val="001B6F95"/>
    <w:pPr>
      <w:spacing w:before="60"/>
      <w:outlineLvl w:val="5"/>
    </w:pPr>
    <w:rPr>
      <w:color w:val="918585"/>
      <w:sz w:val="20"/>
    </w:rPr>
  </w:style>
  <w:style w:type="paragraph" w:styleId="Heading7">
    <w:name w:val="heading 7"/>
    <w:basedOn w:val="Normal"/>
    <w:next w:val="Normal"/>
    <w:link w:val="Heading7Char"/>
    <w:qFormat/>
    <w:rsid w:val="001B6F95"/>
    <w:pPr>
      <w:ind w:left="720"/>
      <w:outlineLvl w:val="6"/>
    </w:pPr>
    <w:rPr>
      <w:i/>
    </w:rPr>
  </w:style>
  <w:style w:type="paragraph" w:styleId="Heading8">
    <w:name w:val="heading 8"/>
    <w:basedOn w:val="Normal"/>
    <w:next w:val="Normal"/>
    <w:link w:val="Heading8Char"/>
    <w:qFormat/>
    <w:rsid w:val="001B6F95"/>
    <w:pPr>
      <w:ind w:left="720"/>
      <w:outlineLvl w:val="7"/>
    </w:pPr>
    <w:rPr>
      <w:i/>
    </w:rPr>
  </w:style>
  <w:style w:type="paragraph" w:styleId="Heading9">
    <w:name w:val="heading 9"/>
    <w:basedOn w:val="Normal"/>
    <w:next w:val="Normal"/>
    <w:link w:val="Heading9Char"/>
    <w:qFormat/>
    <w:rsid w:val="001B6F95"/>
    <w:pPr>
      <w:ind w:left="720"/>
      <w:outlineLvl w:val="8"/>
    </w:pPr>
    <w:rPr>
      <w:i/>
    </w:rPr>
  </w:style>
  <w:style w:type="character" w:default="1" w:styleId="DefaultParagraphFont">
    <w:name w:val="Default Paragraph Font"/>
    <w:uiPriority w:val="1"/>
    <w:unhideWhenUsed/>
    <w:rsid w:val="001B6F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6F95"/>
  </w:style>
  <w:style w:type="character" w:customStyle="1" w:styleId="Heading1Char">
    <w:name w:val="Heading 1 Char"/>
    <w:basedOn w:val="DefaultParagraphFont"/>
    <w:link w:val="Heading1"/>
    <w:rsid w:val="001B6F95"/>
    <w:rPr>
      <w:rFonts w:ascii="Times New Roman" w:eastAsia="Times New Roman" w:hAnsi="Times New Roman" w:cs="Times New Roman"/>
      <w:b/>
      <w:sz w:val="32"/>
      <w:szCs w:val="20"/>
      <w:lang w:eastAsia="en-US"/>
    </w:rPr>
  </w:style>
  <w:style w:type="paragraph" w:styleId="BodyText">
    <w:name w:val="Body Text"/>
    <w:basedOn w:val="Normal"/>
    <w:link w:val="BodyTextChar"/>
    <w:rsid w:val="001B6F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6F95"/>
    <w:rPr>
      <w:rFonts w:ascii="Times New Roman" w:eastAsia="Times New Roman" w:hAnsi="Times New Roman" w:cs="Times New Roman"/>
      <w:sz w:val="24"/>
      <w:lang w:eastAsia="en-US"/>
    </w:rPr>
  </w:style>
  <w:style w:type="paragraph" w:styleId="ListBullet">
    <w:name w:val="List Bullet"/>
    <w:basedOn w:val="List"/>
    <w:rsid w:val="001B6F95"/>
    <w:pPr>
      <w:numPr>
        <w:numId w:val="12"/>
      </w:numPr>
      <w:tabs>
        <w:tab w:val="clear" w:pos="340"/>
      </w:tabs>
      <w:spacing w:before="40" w:after="40"/>
    </w:pPr>
  </w:style>
  <w:style w:type="character" w:customStyle="1" w:styleId="SpecialBold">
    <w:name w:val="Special Bold"/>
    <w:basedOn w:val="DefaultParagraphFont"/>
    <w:rsid w:val="001B6F95"/>
    <w:rPr>
      <w:b/>
      <w:spacing w:val="0"/>
    </w:rPr>
  </w:style>
  <w:style w:type="paragraph" w:styleId="ListBullet2">
    <w:name w:val="List Bullet 2"/>
    <w:basedOn w:val="List2"/>
    <w:rsid w:val="001B6F95"/>
    <w:pPr>
      <w:numPr>
        <w:numId w:val="13"/>
      </w:numPr>
      <w:tabs>
        <w:tab w:val="clear" w:pos="680"/>
      </w:tabs>
    </w:pPr>
  </w:style>
  <w:style w:type="paragraph" w:customStyle="1" w:styleId="SuperHeading">
    <w:name w:val="SuperHeading"/>
    <w:basedOn w:val="Normal"/>
    <w:rsid w:val="001B6F95"/>
    <w:pPr>
      <w:spacing w:before="240" w:after="120"/>
      <w:outlineLvl w:val="0"/>
    </w:pPr>
    <w:rPr>
      <w:rFonts w:ascii="Times New Roman" w:hAnsi="Times New Roman"/>
      <w:b/>
      <w:sz w:val="32"/>
    </w:rPr>
  </w:style>
  <w:style w:type="paragraph" w:customStyle="1" w:styleId="AllowPageBreak">
    <w:name w:val="AllowPageBreak"/>
    <w:rsid w:val="001B6F9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B6F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6F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6F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6F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6F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6F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6F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6F95"/>
    <w:rPr>
      <w:rFonts w:ascii="Courier New" w:eastAsia="Times New Roman" w:hAnsi="Courier New" w:cs="Times New Roman"/>
      <w:i/>
      <w:szCs w:val="20"/>
      <w:lang w:eastAsia="en-US"/>
    </w:rPr>
  </w:style>
  <w:style w:type="paragraph" w:customStyle="1" w:styleId="HeadingBase">
    <w:name w:val="Heading Base"/>
    <w:rsid w:val="001B6F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6F95"/>
    <w:pPr>
      <w:tabs>
        <w:tab w:val="right" w:leader="dot" w:pos="9072"/>
      </w:tabs>
      <w:ind w:left="567"/>
    </w:pPr>
    <w:rPr>
      <w:szCs w:val="22"/>
    </w:rPr>
  </w:style>
  <w:style w:type="paragraph" w:customStyle="1" w:styleId="TOCBase">
    <w:name w:val="TOC Base"/>
    <w:rsid w:val="001B6F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6F95"/>
    <w:pPr>
      <w:tabs>
        <w:tab w:val="right" w:leader="dot" w:pos="9072"/>
      </w:tabs>
      <w:spacing w:before="40" w:after="40"/>
      <w:ind w:left="284"/>
    </w:pPr>
    <w:rPr>
      <w:rFonts w:ascii="Times New Roman" w:hAnsi="Times New Roman"/>
    </w:rPr>
  </w:style>
  <w:style w:type="paragraph" w:styleId="TOC1">
    <w:name w:val="toc 1"/>
    <w:basedOn w:val="TOCBase"/>
    <w:next w:val="Normal"/>
    <w:rsid w:val="001B6F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6F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6F95"/>
    <w:rPr>
      <w:rFonts w:ascii="Times New Roman" w:eastAsia="Times New Roman" w:hAnsi="Times New Roman" w:cs="Times New Roman"/>
      <w:sz w:val="16"/>
      <w:lang w:eastAsia="en-US"/>
    </w:rPr>
  </w:style>
  <w:style w:type="paragraph" w:styleId="Title">
    <w:name w:val="Title"/>
    <w:basedOn w:val="HeadingBase"/>
    <w:link w:val="TitleChar"/>
    <w:qFormat/>
    <w:rsid w:val="001B6F95"/>
    <w:pPr>
      <w:spacing w:before="5040"/>
      <w:jc w:val="center"/>
    </w:pPr>
    <w:rPr>
      <w:sz w:val="48"/>
      <w:szCs w:val="72"/>
      <w:lang w:val="en-US"/>
    </w:rPr>
  </w:style>
  <w:style w:type="character" w:customStyle="1" w:styleId="TitleChar">
    <w:name w:val="Title Char"/>
    <w:basedOn w:val="DefaultParagraphFont"/>
    <w:link w:val="Title"/>
    <w:rsid w:val="001B6F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6F95"/>
    <w:pPr>
      <w:tabs>
        <w:tab w:val="left" w:pos="3600"/>
        <w:tab w:val="left" w:pos="3958"/>
      </w:tabs>
    </w:pPr>
  </w:style>
  <w:style w:type="paragraph" w:styleId="List">
    <w:name w:val="List"/>
    <w:basedOn w:val="BodyText"/>
    <w:next w:val="BodyText"/>
    <w:rsid w:val="001B6F95"/>
    <w:pPr>
      <w:tabs>
        <w:tab w:val="left" w:pos="340"/>
      </w:tabs>
      <w:spacing w:before="60" w:after="60"/>
      <w:ind w:left="340" w:hanging="340"/>
    </w:pPr>
  </w:style>
  <w:style w:type="paragraph" w:customStyle="1" w:styleId="Note">
    <w:name w:val="Note"/>
    <w:basedOn w:val="BodyText"/>
    <w:rsid w:val="001B6F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6F95"/>
    <w:pPr>
      <w:framePr w:wrap="auto" w:hAnchor="text" w:y="6049"/>
    </w:pPr>
    <w:rPr>
      <w:color w:val="000000"/>
      <w:sz w:val="40"/>
    </w:rPr>
  </w:style>
  <w:style w:type="paragraph" w:customStyle="1" w:styleId="TOCTitle">
    <w:name w:val="TOCTitle"/>
    <w:basedOn w:val="Heading1"/>
    <w:rsid w:val="001B6F95"/>
    <w:pPr>
      <w:spacing w:after="240"/>
      <w:jc w:val="center"/>
      <w:outlineLvl w:val="9"/>
    </w:pPr>
    <w:rPr>
      <w:caps/>
    </w:rPr>
  </w:style>
  <w:style w:type="paragraph" w:customStyle="1" w:styleId="Version">
    <w:name w:val="Version"/>
    <w:rsid w:val="001B6F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6F95"/>
    <w:pPr>
      <w:keepNext w:val="0"/>
      <w:tabs>
        <w:tab w:val="right" w:pos="4176"/>
      </w:tabs>
      <w:ind w:left="198" w:hanging="198"/>
    </w:pPr>
    <w:rPr>
      <w:rFonts w:ascii="Garamond" w:hAnsi="Garamond"/>
    </w:rPr>
  </w:style>
  <w:style w:type="paragraph" w:styleId="IndexHeading">
    <w:name w:val="index heading"/>
    <w:basedOn w:val="Normal"/>
    <w:next w:val="Index1"/>
    <w:semiHidden/>
    <w:rsid w:val="001B6F95"/>
    <w:pPr>
      <w:spacing w:before="120" w:after="120"/>
    </w:pPr>
    <w:rPr>
      <w:rFonts w:ascii="Arial" w:hAnsi="Arial"/>
      <w:b/>
      <w:color w:val="918585"/>
      <w:sz w:val="24"/>
    </w:rPr>
  </w:style>
  <w:style w:type="paragraph" w:styleId="Header">
    <w:name w:val="header"/>
    <w:basedOn w:val="Normal"/>
    <w:link w:val="HeaderChar"/>
    <w:rsid w:val="001B6F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6F95"/>
    <w:rPr>
      <w:rFonts w:ascii="Times New Roman" w:eastAsia="Times New Roman" w:hAnsi="Times New Roman" w:cs="Times New Roman"/>
      <w:sz w:val="16"/>
      <w:szCs w:val="20"/>
      <w:lang w:val="en-GB" w:eastAsia="en-US"/>
    </w:rPr>
  </w:style>
  <w:style w:type="paragraph" w:customStyle="1" w:styleId="Chapter">
    <w:name w:val="Chapter"/>
    <w:basedOn w:val="Normal"/>
    <w:rsid w:val="001B6F95"/>
    <w:pPr>
      <w:spacing w:before="240"/>
    </w:pPr>
    <w:rPr>
      <w:rFonts w:ascii="Times New Roman" w:hAnsi="Times New Roman"/>
      <w:smallCaps/>
      <w:spacing w:val="80"/>
      <w:sz w:val="28"/>
    </w:rPr>
  </w:style>
  <w:style w:type="paragraph" w:customStyle="1" w:styleId="InChapter">
    <w:name w:val="InChapter"/>
    <w:basedOn w:val="Heading3"/>
    <w:rsid w:val="001B6F95"/>
    <w:pPr>
      <w:spacing w:after="240"/>
      <w:outlineLvl w:val="9"/>
    </w:pPr>
    <w:rPr>
      <w:noProof/>
    </w:rPr>
  </w:style>
  <w:style w:type="paragraph" w:styleId="Index2">
    <w:name w:val="index 2"/>
    <w:basedOn w:val="Normal"/>
    <w:next w:val="Normal"/>
    <w:semiHidden/>
    <w:rsid w:val="001B6F95"/>
    <w:pPr>
      <w:tabs>
        <w:tab w:val="right" w:pos="4176"/>
      </w:tabs>
      <w:ind w:left="568" w:hanging="284"/>
    </w:pPr>
    <w:rPr>
      <w:rFonts w:ascii="Garamond" w:hAnsi="Garamond"/>
    </w:rPr>
  </w:style>
  <w:style w:type="paragraph" w:customStyle="1" w:styleId="Byline">
    <w:name w:val="Byline"/>
    <w:rsid w:val="001B6F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6F95"/>
    <w:pPr>
      <w:tabs>
        <w:tab w:val="clear" w:pos="3600"/>
        <w:tab w:val="clear" w:pos="3958"/>
      </w:tabs>
      <w:jc w:val="right"/>
    </w:pPr>
  </w:style>
  <w:style w:type="character" w:styleId="Emphasis">
    <w:name w:val="Emphasis"/>
    <w:basedOn w:val="DefaultParagraphFont"/>
    <w:qFormat/>
    <w:rsid w:val="001B6F95"/>
    <w:rPr>
      <w:i/>
    </w:rPr>
  </w:style>
  <w:style w:type="paragraph" w:styleId="Caption">
    <w:name w:val="caption"/>
    <w:basedOn w:val="BodyText"/>
    <w:next w:val="Normal"/>
    <w:qFormat/>
    <w:rsid w:val="001B6F95"/>
    <w:pPr>
      <w:framePr w:w="2268" w:hSpace="181" w:vSpace="181" w:wrap="around" w:vAnchor="text" w:hAnchor="page" w:x="1135" w:y="285" w:anchorLock="1"/>
    </w:pPr>
    <w:rPr>
      <w:i/>
    </w:rPr>
  </w:style>
  <w:style w:type="paragraph" w:customStyle="1" w:styleId="MiniTOCTitle">
    <w:name w:val="MiniTOCTitle"/>
    <w:basedOn w:val="Heading4"/>
    <w:rsid w:val="001B6F95"/>
    <w:pPr>
      <w:spacing w:before="240"/>
      <w:outlineLvl w:val="9"/>
    </w:pPr>
    <w:rPr>
      <w:noProof/>
      <w:sz w:val="24"/>
    </w:rPr>
  </w:style>
  <w:style w:type="paragraph" w:customStyle="1" w:styleId="MiniTOCItem">
    <w:name w:val="MiniTOCItem"/>
    <w:basedOn w:val="ListBullet"/>
    <w:rsid w:val="001B6F95"/>
    <w:pPr>
      <w:numPr>
        <w:numId w:val="0"/>
      </w:numPr>
      <w:tabs>
        <w:tab w:val="right" w:leader="dot" w:pos="6521"/>
      </w:tabs>
      <w:spacing w:before="0" w:after="0"/>
    </w:pPr>
  </w:style>
  <w:style w:type="paragraph" w:customStyle="1" w:styleId="TOFTitle">
    <w:name w:val="TOFTitle"/>
    <w:basedOn w:val="TOCTitle"/>
    <w:rsid w:val="001B6F95"/>
  </w:style>
  <w:style w:type="paragraph" w:styleId="TableofFigures">
    <w:name w:val="table of figures"/>
    <w:basedOn w:val="Normal"/>
    <w:next w:val="Normal"/>
    <w:semiHidden/>
    <w:rsid w:val="001B6F95"/>
    <w:pPr>
      <w:tabs>
        <w:tab w:val="right" w:leader="dot" w:pos="9072"/>
      </w:tabs>
      <w:ind w:left="970" w:hanging="403"/>
    </w:pPr>
    <w:rPr>
      <w:rFonts w:ascii="Times New Roman" w:hAnsi="Times New Roman"/>
      <w:b/>
    </w:rPr>
  </w:style>
  <w:style w:type="paragraph" w:styleId="ListNumber">
    <w:name w:val="List Number"/>
    <w:basedOn w:val="List"/>
    <w:rsid w:val="001B6F95"/>
    <w:pPr>
      <w:numPr>
        <w:numId w:val="15"/>
      </w:numPr>
      <w:tabs>
        <w:tab w:val="clear" w:pos="340"/>
      </w:tabs>
    </w:pPr>
  </w:style>
  <w:style w:type="character" w:customStyle="1" w:styleId="WingdingSymbols">
    <w:name w:val="Wingding Symbols"/>
    <w:rsid w:val="001B6F95"/>
    <w:rPr>
      <w:rFonts w:ascii="Wingdings" w:hAnsi="Wingdings"/>
    </w:rPr>
  </w:style>
  <w:style w:type="paragraph" w:customStyle="1" w:styleId="TableHeading">
    <w:name w:val="Table Heading"/>
    <w:basedOn w:val="HeadingBase"/>
    <w:rsid w:val="001B6F95"/>
    <w:pPr>
      <w:keepLines/>
      <w:pBdr>
        <w:bottom w:val="single" w:sz="6" w:space="1" w:color="918585"/>
      </w:pBdr>
      <w:spacing w:before="240"/>
    </w:pPr>
  </w:style>
  <w:style w:type="character" w:customStyle="1" w:styleId="HotSpot">
    <w:name w:val="HotSpot"/>
    <w:rsid w:val="001B6F95"/>
    <w:rPr>
      <w:color w:val="0033CC"/>
      <w:u w:val="none"/>
    </w:rPr>
  </w:style>
  <w:style w:type="paragraph" w:customStyle="1" w:styleId="BodyTextRight">
    <w:name w:val="Body Text Right"/>
    <w:basedOn w:val="BodyText"/>
    <w:rsid w:val="001B6F95"/>
    <w:pPr>
      <w:spacing w:before="0" w:after="0"/>
      <w:jc w:val="right"/>
    </w:pPr>
  </w:style>
  <w:style w:type="paragraph" w:styleId="Index3">
    <w:name w:val="index 3"/>
    <w:basedOn w:val="ListNumber2"/>
    <w:next w:val="Normal"/>
    <w:semiHidden/>
    <w:rsid w:val="001B6F95"/>
    <w:pPr>
      <w:numPr>
        <w:numId w:val="0"/>
      </w:numPr>
      <w:tabs>
        <w:tab w:val="right" w:leader="dot" w:pos="4176"/>
      </w:tabs>
    </w:pPr>
  </w:style>
  <w:style w:type="paragraph" w:styleId="ListNumber2">
    <w:name w:val="List Number 2"/>
    <w:basedOn w:val="List2"/>
    <w:rsid w:val="001B6F95"/>
    <w:pPr>
      <w:numPr>
        <w:numId w:val="10"/>
      </w:numPr>
      <w:tabs>
        <w:tab w:val="clear" w:pos="1060"/>
      </w:tabs>
    </w:pPr>
  </w:style>
  <w:style w:type="paragraph" w:customStyle="1" w:styleId="MarginNote">
    <w:name w:val="Margin Note"/>
    <w:basedOn w:val="BodyText"/>
    <w:rsid w:val="001B6F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6F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6F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6F95"/>
    <w:rPr>
      <w:sz w:val="32"/>
    </w:rPr>
  </w:style>
  <w:style w:type="paragraph" w:customStyle="1" w:styleId="HeadingProcedure">
    <w:name w:val="Heading Procedure"/>
    <w:basedOn w:val="HeadingBase"/>
    <w:next w:val="Normal"/>
    <w:rsid w:val="001B6F95"/>
    <w:pPr>
      <w:tabs>
        <w:tab w:val="left" w:pos="0"/>
      </w:tabs>
      <w:spacing w:before="120" w:after="60"/>
    </w:pPr>
    <w:rPr>
      <w:i/>
      <w:color w:val="918585"/>
      <w:sz w:val="22"/>
    </w:rPr>
  </w:style>
  <w:style w:type="paragraph" w:customStyle="1" w:styleId="TableBodyText">
    <w:name w:val="Table Body Text"/>
    <w:basedOn w:val="BodyText"/>
    <w:rsid w:val="001B6F95"/>
    <w:pPr>
      <w:spacing w:before="60" w:after="60"/>
    </w:pPr>
  </w:style>
  <w:style w:type="paragraph" w:styleId="ListContinue">
    <w:name w:val="List Continue"/>
    <w:basedOn w:val="List"/>
    <w:rsid w:val="001B6F95"/>
    <w:pPr>
      <w:ind w:firstLine="0"/>
    </w:pPr>
  </w:style>
  <w:style w:type="paragraph" w:customStyle="1" w:styleId="ListNote">
    <w:name w:val="List Note"/>
    <w:basedOn w:val="List"/>
    <w:rsid w:val="001B6F95"/>
    <w:pPr>
      <w:pBdr>
        <w:top w:val="single" w:sz="6" w:space="2" w:color="918585"/>
        <w:bottom w:val="single" w:sz="6" w:space="2" w:color="918585"/>
      </w:pBdr>
      <w:tabs>
        <w:tab w:val="left" w:pos="1021"/>
      </w:tabs>
      <w:ind w:firstLine="0"/>
    </w:pPr>
  </w:style>
  <w:style w:type="paragraph" w:customStyle="1" w:styleId="Warning">
    <w:name w:val="Warning"/>
    <w:basedOn w:val="BodyText"/>
    <w:rsid w:val="001B6F95"/>
    <w:pPr>
      <w:shd w:val="clear" w:color="auto" w:fill="D9D9D9"/>
      <w:tabs>
        <w:tab w:val="left" w:pos="992"/>
      </w:tabs>
      <w:ind w:left="119" w:right="119"/>
    </w:pPr>
    <w:rPr>
      <w:sz w:val="20"/>
    </w:rPr>
  </w:style>
  <w:style w:type="paragraph" w:customStyle="1" w:styleId="MarginIcons">
    <w:name w:val="Margin Icons"/>
    <w:basedOn w:val="BodyText"/>
    <w:rsid w:val="001B6F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6F95"/>
    <w:rPr>
      <w:rFonts w:ascii="Courier New" w:hAnsi="Courier New"/>
    </w:rPr>
  </w:style>
  <w:style w:type="paragraph" w:customStyle="1" w:styleId="NoteBullet">
    <w:name w:val="Note Bullet"/>
    <w:basedOn w:val="Note"/>
    <w:rsid w:val="001B6F95"/>
    <w:pPr>
      <w:tabs>
        <w:tab w:val="clear" w:pos="680"/>
      </w:tabs>
      <w:spacing w:before="60" w:after="60"/>
    </w:pPr>
  </w:style>
  <w:style w:type="paragraph" w:customStyle="1" w:styleId="SubHeading2">
    <w:name w:val="SubHeading2"/>
    <w:basedOn w:val="HeadingBase"/>
    <w:rsid w:val="001B6F95"/>
    <w:pPr>
      <w:spacing w:before="240" w:after="60"/>
    </w:pPr>
    <w:rPr>
      <w:sz w:val="20"/>
    </w:rPr>
  </w:style>
  <w:style w:type="paragraph" w:customStyle="1" w:styleId="SubHeading1">
    <w:name w:val="SubHeading1"/>
    <w:basedOn w:val="HeadingBase"/>
    <w:rsid w:val="001B6F95"/>
    <w:pPr>
      <w:spacing w:before="240" w:after="60"/>
    </w:pPr>
    <w:rPr>
      <w:color w:val="918585"/>
      <w:sz w:val="22"/>
    </w:rPr>
  </w:style>
  <w:style w:type="paragraph" w:customStyle="1" w:styleId="SideHeading">
    <w:name w:val="Side Heading"/>
    <w:basedOn w:val="HeadingBase"/>
    <w:rsid w:val="001B6F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6F95"/>
    <w:pPr>
      <w:tabs>
        <w:tab w:val="num" w:pos="360"/>
      </w:tabs>
    </w:pPr>
  </w:style>
  <w:style w:type="paragraph" w:styleId="PlainText">
    <w:name w:val="Plain Text"/>
    <w:basedOn w:val="Normal"/>
    <w:link w:val="PlainTextChar"/>
    <w:rsid w:val="001B6F95"/>
    <w:rPr>
      <w:sz w:val="20"/>
    </w:rPr>
  </w:style>
  <w:style w:type="character" w:customStyle="1" w:styleId="PlainTextChar">
    <w:name w:val="Plain Text Char"/>
    <w:basedOn w:val="DefaultParagraphFont"/>
    <w:link w:val="PlainText"/>
    <w:rsid w:val="001B6F95"/>
    <w:rPr>
      <w:rFonts w:ascii="Courier New" w:eastAsia="Times New Roman" w:hAnsi="Courier New" w:cs="Times New Roman"/>
      <w:sz w:val="20"/>
      <w:szCs w:val="20"/>
      <w:lang w:eastAsia="en-US"/>
    </w:rPr>
  </w:style>
  <w:style w:type="character" w:customStyle="1" w:styleId="MenuOption">
    <w:name w:val="Menu Option"/>
    <w:basedOn w:val="DefaultParagraphFont"/>
    <w:rsid w:val="001B6F95"/>
    <w:rPr>
      <w:b/>
      <w:smallCaps/>
    </w:rPr>
  </w:style>
  <w:style w:type="paragraph" w:customStyle="1" w:styleId="TableListNumber">
    <w:name w:val="Table List Number"/>
    <w:basedOn w:val="ListNumber"/>
    <w:rsid w:val="001B6F95"/>
    <w:pPr>
      <w:numPr>
        <w:numId w:val="0"/>
      </w:numPr>
    </w:pPr>
  </w:style>
  <w:style w:type="paragraph" w:styleId="TOC4">
    <w:name w:val="toc 4"/>
    <w:basedOn w:val="TOCBase"/>
    <w:next w:val="Normal"/>
    <w:semiHidden/>
    <w:rsid w:val="001B6F95"/>
    <w:pPr>
      <w:tabs>
        <w:tab w:val="right" w:leader="dot" w:pos="9071"/>
      </w:tabs>
      <w:ind w:left="1701"/>
    </w:pPr>
  </w:style>
  <w:style w:type="paragraph" w:customStyle="1" w:styleId="ListAlpha">
    <w:name w:val="List Alpha"/>
    <w:basedOn w:val="List"/>
    <w:rsid w:val="001B6F95"/>
    <w:pPr>
      <w:numPr>
        <w:numId w:val="9"/>
      </w:numPr>
    </w:pPr>
  </w:style>
  <w:style w:type="paragraph" w:customStyle="1" w:styleId="ListAlpha2">
    <w:name w:val="List Alpha 2"/>
    <w:basedOn w:val="List2"/>
    <w:rsid w:val="001B6F95"/>
    <w:pPr>
      <w:numPr>
        <w:numId w:val="8"/>
      </w:numPr>
    </w:pPr>
  </w:style>
  <w:style w:type="paragraph" w:styleId="List2">
    <w:name w:val="List 2"/>
    <w:basedOn w:val="BodyText"/>
    <w:rsid w:val="001B6F95"/>
    <w:pPr>
      <w:tabs>
        <w:tab w:val="left" w:pos="680"/>
      </w:tabs>
      <w:spacing w:before="60" w:after="60"/>
      <w:ind w:left="680" w:hanging="340"/>
    </w:pPr>
  </w:style>
  <w:style w:type="paragraph" w:styleId="List3">
    <w:name w:val="List 3"/>
    <w:basedOn w:val="BodyText"/>
    <w:rsid w:val="001B6F95"/>
    <w:pPr>
      <w:tabs>
        <w:tab w:val="left" w:pos="1021"/>
      </w:tabs>
      <w:spacing w:before="60" w:after="60"/>
      <w:ind w:left="1020" w:hanging="340"/>
    </w:pPr>
  </w:style>
  <w:style w:type="paragraph" w:styleId="List4">
    <w:name w:val="List 4"/>
    <w:basedOn w:val="BodyText"/>
    <w:rsid w:val="001B6F95"/>
    <w:pPr>
      <w:tabs>
        <w:tab w:val="left" w:pos="1361"/>
      </w:tabs>
      <w:spacing w:before="60" w:after="60"/>
      <w:ind w:left="1361" w:hanging="340"/>
    </w:pPr>
  </w:style>
  <w:style w:type="paragraph" w:styleId="List5">
    <w:name w:val="List 5"/>
    <w:basedOn w:val="BodyText"/>
    <w:rsid w:val="001B6F95"/>
    <w:pPr>
      <w:tabs>
        <w:tab w:val="left" w:pos="1701"/>
      </w:tabs>
      <w:spacing w:before="60" w:after="60"/>
      <w:ind w:left="1701" w:hanging="340"/>
    </w:pPr>
  </w:style>
  <w:style w:type="paragraph" w:styleId="ListBullet3">
    <w:name w:val="List Bullet 3"/>
    <w:basedOn w:val="List3"/>
    <w:rsid w:val="001B6F95"/>
    <w:pPr>
      <w:numPr>
        <w:numId w:val="14"/>
      </w:numPr>
      <w:tabs>
        <w:tab w:val="clear" w:pos="1021"/>
      </w:tabs>
      <w:ind w:left="1037" w:hanging="357"/>
    </w:pPr>
  </w:style>
  <w:style w:type="paragraph" w:styleId="ListBullet4">
    <w:name w:val="List Bullet 4"/>
    <w:basedOn w:val="List4"/>
    <w:rsid w:val="001B6F95"/>
    <w:pPr>
      <w:numPr>
        <w:numId w:val="3"/>
      </w:numPr>
      <w:tabs>
        <w:tab w:val="clear" w:pos="1361"/>
      </w:tabs>
    </w:pPr>
  </w:style>
  <w:style w:type="paragraph" w:styleId="ListBullet5">
    <w:name w:val="List Bullet 5"/>
    <w:basedOn w:val="List5"/>
    <w:rsid w:val="001B6F95"/>
    <w:pPr>
      <w:numPr>
        <w:numId w:val="4"/>
      </w:numPr>
    </w:pPr>
  </w:style>
  <w:style w:type="paragraph" w:styleId="ListContinue2">
    <w:name w:val="List Continue 2"/>
    <w:basedOn w:val="List2"/>
    <w:rsid w:val="001B6F95"/>
    <w:pPr>
      <w:ind w:firstLine="0"/>
    </w:pPr>
  </w:style>
  <w:style w:type="paragraph" w:styleId="ListContinue3">
    <w:name w:val="List Continue 3"/>
    <w:basedOn w:val="List3"/>
    <w:rsid w:val="001B6F95"/>
    <w:pPr>
      <w:ind w:left="1021" w:firstLine="0"/>
    </w:pPr>
  </w:style>
  <w:style w:type="paragraph" w:styleId="ListContinue4">
    <w:name w:val="List Continue 4"/>
    <w:basedOn w:val="List4"/>
    <w:rsid w:val="001B6F95"/>
    <w:pPr>
      <w:ind w:firstLine="0"/>
    </w:pPr>
  </w:style>
  <w:style w:type="paragraph" w:styleId="ListContinue5">
    <w:name w:val="List Continue 5"/>
    <w:basedOn w:val="List5"/>
    <w:rsid w:val="001B6F95"/>
    <w:pPr>
      <w:ind w:firstLine="0"/>
    </w:pPr>
  </w:style>
  <w:style w:type="paragraph" w:styleId="ListNumber3">
    <w:name w:val="List Number 3"/>
    <w:basedOn w:val="List3"/>
    <w:rsid w:val="001B6F95"/>
    <w:pPr>
      <w:numPr>
        <w:numId w:val="5"/>
      </w:numPr>
    </w:pPr>
  </w:style>
  <w:style w:type="paragraph" w:styleId="ListNumber4">
    <w:name w:val="List Number 4"/>
    <w:basedOn w:val="List4"/>
    <w:rsid w:val="001B6F95"/>
    <w:pPr>
      <w:numPr>
        <w:numId w:val="6"/>
      </w:numPr>
    </w:pPr>
  </w:style>
  <w:style w:type="paragraph" w:styleId="ListNumber5">
    <w:name w:val="List Number 5"/>
    <w:basedOn w:val="List5"/>
    <w:rsid w:val="001B6F95"/>
    <w:pPr>
      <w:numPr>
        <w:numId w:val="7"/>
      </w:numPr>
    </w:pPr>
  </w:style>
  <w:style w:type="paragraph" w:styleId="BlockText">
    <w:name w:val="Block Text"/>
    <w:basedOn w:val="Normal"/>
    <w:rsid w:val="001B6F95"/>
    <w:pPr>
      <w:spacing w:after="120"/>
      <w:ind w:left="1440" w:right="1440"/>
    </w:pPr>
  </w:style>
  <w:style w:type="character" w:customStyle="1" w:styleId="Subscript">
    <w:name w:val="Subscript"/>
    <w:basedOn w:val="DefaultParagraphFont"/>
    <w:rsid w:val="001B6F95"/>
    <w:rPr>
      <w:sz w:val="16"/>
      <w:vertAlign w:val="subscript"/>
    </w:rPr>
  </w:style>
  <w:style w:type="character" w:customStyle="1" w:styleId="Superscript">
    <w:name w:val="Superscript"/>
    <w:basedOn w:val="DefaultParagraphFont"/>
    <w:rsid w:val="001B6F95"/>
    <w:rPr>
      <w:sz w:val="16"/>
      <w:vertAlign w:val="superscript"/>
    </w:rPr>
  </w:style>
  <w:style w:type="character" w:customStyle="1" w:styleId="Symbols">
    <w:name w:val="Symbols"/>
    <w:basedOn w:val="DefaultParagraphFont"/>
    <w:rsid w:val="001B6F95"/>
    <w:rPr>
      <w:rFonts w:ascii="Symbol" w:hAnsi="Symbol"/>
    </w:rPr>
  </w:style>
  <w:style w:type="character" w:customStyle="1" w:styleId="MenuOptions">
    <w:name w:val="Menu Options"/>
    <w:basedOn w:val="DefaultParagraphFont"/>
    <w:rsid w:val="001B6F95"/>
    <w:rPr>
      <w:rFonts w:ascii="Arial Narrow" w:hAnsi="Arial Narrow"/>
      <w:smallCaps/>
    </w:rPr>
  </w:style>
  <w:style w:type="character" w:customStyle="1" w:styleId="Buttons">
    <w:name w:val="Buttons"/>
    <w:basedOn w:val="DefaultParagraphFont"/>
    <w:rsid w:val="001B6F95"/>
    <w:rPr>
      <w:b/>
    </w:rPr>
  </w:style>
  <w:style w:type="character" w:customStyle="1" w:styleId="Underlined">
    <w:name w:val="Underlined"/>
    <w:basedOn w:val="DefaultParagraphFont"/>
    <w:rsid w:val="001B6F95"/>
    <w:rPr>
      <w:u w:val="single"/>
    </w:rPr>
  </w:style>
  <w:style w:type="paragraph" w:customStyle="1" w:styleId="TableBodyTextRight">
    <w:name w:val="Table Body Text Right"/>
    <w:basedOn w:val="TableBodyText"/>
    <w:rsid w:val="001B6F95"/>
    <w:pPr>
      <w:widowControl w:val="0"/>
      <w:autoSpaceDE w:val="0"/>
      <w:autoSpaceDN w:val="0"/>
      <w:adjustRightInd w:val="0"/>
      <w:jc w:val="right"/>
    </w:pPr>
    <w:rPr>
      <w:rFonts w:cs="Arial"/>
      <w:szCs w:val="18"/>
    </w:rPr>
  </w:style>
  <w:style w:type="paragraph" w:customStyle="1" w:styleId="CopyrightText">
    <w:name w:val="Copyright Text"/>
    <w:basedOn w:val="BodyText"/>
    <w:rsid w:val="001B6F95"/>
    <w:rPr>
      <w:sz w:val="18"/>
    </w:rPr>
  </w:style>
  <w:style w:type="paragraph" w:customStyle="1" w:styleId="BodySmallRight">
    <w:name w:val="Body Small Right"/>
    <w:basedOn w:val="BodyTextRight"/>
    <w:rsid w:val="001B6F95"/>
    <w:rPr>
      <w:sz w:val="18"/>
      <w:szCs w:val="18"/>
    </w:rPr>
  </w:style>
  <w:style w:type="paragraph" w:customStyle="1" w:styleId="MarginEdition">
    <w:name w:val="Margin Edition"/>
    <w:basedOn w:val="MarginNote"/>
    <w:rsid w:val="001B6F95"/>
    <w:pPr>
      <w:spacing w:before="0" w:after="0"/>
    </w:pPr>
    <w:rPr>
      <w:rFonts w:ascii="Times New Roman" w:hAnsi="Times New Roman"/>
      <w:color w:val="999999"/>
    </w:rPr>
  </w:style>
  <w:style w:type="paragraph" w:customStyle="1" w:styleId="Spacer">
    <w:name w:val="Spacer"/>
    <w:basedOn w:val="Normal"/>
    <w:rsid w:val="001B6F95"/>
    <w:rPr>
      <w:sz w:val="2"/>
      <w:szCs w:val="2"/>
    </w:rPr>
  </w:style>
  <w:style w:type="character" w:customStyle="1" w:styleId="Small">
    <w:name w:val="Small"/>
    <w:basedOn w:val="DefaultParagraphFont"/>
    <w:rsid w:val="001B6F95"/>
    <w:rPr>
      <w:sz w:val="16"/>
    </w:rPr>
  </w:style>
  <w:style w:type="paragraph" w:customStyle="1" w:styleId="WideTable">
    <w:name w:val="Wide Table"/>
    <w:basedOn w:val="Normal"/>
    <w:rsid w:val="001B6F95"/>
    <w:pPr>
      <w:ind w:left="-1418"/>
    </w:pPr>
    <w:rPr>
      <w:sz w:val="2"/>
      <w:szCs w:val="2"/>
    </w:rPr>
  </w:style>
  <w:style w:type="character" w:styleId="PageNumber">
    <w:name w:val="page number"/>
    <w:basedOn w:val="DefaultParagraphFont"/>
    <w:rsid w:val="001B6F95"/>
  </w:style>
  <w:style w:type="paragraph" w:styleId="Quote">
    <w:name w:val="Quote"/>
    <w:basedOn w:val="Heading1"/>
    <w:link w:val="QuoteChar"/>
    <w:qFormat/>
    <w:rsid w:val="001B6F95"/>
    <w:rPr>
      <w:b w:val="0"/>
      <w:sz w:val="72"/>
      <w:szCs w:val="72"/>
      <w:lang w:val="en-NZ"/>
    </w:rPr>
  </w:style>
  <w:style w:type="character" w:customStyle="1" w:styleId="QuoteChar">
    <w:name w:val="Quote Char"/>
    <w:basedOn w:val="DefaultParagraphFont"/>
    <w:link w:val="Quote"/>
    <w:rsid w:val="001B6F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6F95"/>
    <w:pPr>
      <w:pageBreakBefore/>
    </w:pPr>
  </w:style>
  <w:style w:type="paragraph" w:customStyle="1" w:styleId="Border">
    <w:name w:val="Border"/>
    <w:basedOn w:val="Normal"/>
    <w:qFormat/>
    <w:rsid w:val="001B6F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6F95"/>
    <w:rPr>
      <w:b/>
      <w:bCs/>
      <w:i/>
      <w:iCs/>
      <w:color w:val="auto"/>
    </w:rPr>
  </w:style>
  <w:style w:type="paragraph" w:styleId="IntenseQuote">
    <w:name w:val="Intense Quote"/>
    <w:basedOn w:val="Normal"/>
    <w:next w:val="Normal"/>
    <w:link w:val="IntenseQuoteChar"/>
    <w:uiPriority w:val="30"/>
    <w:qFormat/>
    <w:rsid w:val="001B6F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6F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6F95"/>
    <w:rPr>
      <w:smallCaps/>
      <w:color w:val="auto"/>
      <w:u w:val="single"/>
    </w:rPr>
  </w:style>
  <w:style w:type="character" w:styleId="IntenseReference">
    <w:name w:val="Intense Reference"/>
    <w:basedOn w:val="DefaultParagraphFont"/>
    <w:uiPriority w:val="32"/>
    <w:qFormat/>
    <w:rsid w:val="001B6F95"/>
    <w:rPr>
      <w:b/>
      <w:bCs/>
      <w:smallCaps/>
      <w:color w:val="auto"/>
      <w:spacing w:val="5"/>
      <w:u w:val="single"/>
    </w:rPr>
  </w:style>
  <w:style w:type="paragraph" w:customStyle="1" w:styleId="2ColumnHeading">
    <w:name w:val="2Column Heading"/>
    <w:basedOn w:val="BodyText"/>
    <w:qFormat/>
    <w:rsid w:val="001B6F95"/>
    <w:pPr>
      <w:spacing w:after="60"/>
      <w:ind w:left="-2268"/>
    </w:pPr>
    <w:rPr>
      <w:b/>
    </w:rPr>
  </w:style>
  <w:style w:type="paragraph" w:customStyle="1" w:styleId="Heading1TOC">
    <w:name w:val="Heading1 TOC"/>
    <w:basedOn w:val="Normal"/>
    <w:qFormat/>
    <w:rsid w:val="001B6F95"/>
    <w:pPr>
      <w:spacing w:before="240" w:after="120"/>
    </w:pPr>
    <w:rPr>
      <w:rFonts w:ascii="Times New Roman" w:hAnsi="Times New Roman"/>
      <w:b/>
      <w:sz w:val="32"/>
    </w:rPr>
  </w:style>
  <w:style w:type="paragraph" w:customStyle="1" w:styleId="Heading2TOC">
    <w:name w:val="Heading2 TOC"/>
    <w:basedOn w:val="Normal"/>
    <w:qFormat/>
    <w:rsid w:val="001B6F95"/>
    <w:pPr>
      <w:spacing w:before="240" w:after="60"/>
    </w:pPr>
    <w:rPr>
      <w:rFonts w:ascii="Times New Roman" w:hAnsi="Times New Roman"/>
      <w:b/>
      <w:sz w:val="28"/>
    </w:rPr>
  </w:style>
  <w:style w:type="character" w:customStyle="1" w:styleId="Underline">
    <w:name w:val="Underline"/>
    <w:basedOn w:val="DefaultParagraphFont"/>
    <w:qFormat/>
    <w:rsid w:val="001B6F95"/>
    <w:rPr>
      <w:u w:val="single"/>
    </w:rPr>
  </w:style>
  <w:style w:type="character" w:customStyle="1" w:styleId="BoldandItalics">
    <w:name w:val="Bold and Italics"/>
    <w:qFormat/>
    <w:rsid w:val="001B6F95"/>
    <w:rPr>
      <w:b/>
      <w:i/>
      <w:u w:val="none"/>
    </w:rPr>
  </w:style>
  <w:style w:type="paragraph" w:styleId="BalloonText">
    <w:name w:val="Balloon Text"/>
    <w:basedOn w:val="Normal"/>
    <w:link w:val="BalloonTextChar"/>
    <w:rsid w:val="001B6F95"/>
    <w:rPr>
      <w:rFonts w:ascii="Tahoma" w:hAnsi="Tahoma" w:cs="Tahoma"/>
      <w:sz w:val="16"/>
      <w:szCs w:val="16"/>
    </w:rPr>
  </w:style>
  <w:style w:type="character" w:customStyle="1" w:styleId="BalloonTextChar">
    <w:name w:val="Balloon Text Char"/>
    <w:basedOn w:val="DefaultParagraphFont"/>
    <w:link w:val="BalloonText"/>
    <w:rsid w:val="001B6F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6F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6F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6F95"/>
    <w:rPr>
      <w:b/>
      <w:color w:val="660033"/>
      <w:spacing w:val="0"/>
    </w:rPr>
  </w:style>
  <w:style w:type="paragraph" w:customStyle="1" w:styleId="Nameditemlist">
    <w:name w:val="Named item list"/>
    <w:basedOn w:val="BodyText"/>
    <w:qFormat/>
    <w:rsid w:val="001B6F95"/>
    <w:pPr>
      <w:tabs>
        <w:tab w:val="left" w:pos="2835"/>
      </w:tabs>
      <w:ind w:left="2835" w:hanging="2835"/>
    </w:pPr>
  </w:style>
  <w:style w:type="paragraph" w:customStyle="1" w:styleId="BodyTextnopadding">
    <w:name w:val="Body Text no padding"/>
    <w:basedOn w:val="BodyText"/>
    <w:qFormat/>
    <w:rsid w:val="001B6F95"/>
    <w:pPr>
      <w:spacing w:before="0" w:after="0"/>
    </w:pPr>
  </w:style>
  <w:style w:type="paragraph" w:customStyle="1" w:styleId="BodyTextBold">
    <w:name w:val="Body Text Bold"/>
    <w:basedOn w:val="BodyText"/>
    <w:qFormat/>
    <w:rsid w:val="001B6F95"/>
    <w:rPr>
      <w:b/>
    </w:rPr>
  </w:style>
  <w:style w:type="character" w:styleId="Hyperlink">
    <w:name w:val="Hyperlink"/>
    <w:basedOn w:val="DefaultParagraphFont"/>
    <w:uiPriority w:val="99"/>
    <w:unhideWhenUsed/>
    <w:rsid w:val="000242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1181</Words>
  <Characters>7482</Characters>
  <Application>Microsoft Office Word</Application>
  <DocSecurity>0</DocSecurity>
  <Lines>249</Lines>
  <Paragraphs>149</Paragraphs>
  <ScaleCrop>false</ScaleCrop>
  <Company>Author-it Software Corporation Ltd.</Company>
  <LinksUpToDate>false</LinksUpToDate>
  <CharactersWithSpaces>8514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TLIC3027 Stable a motive power unit</dc:title>
  <dc:subject>Approved</dc:subject>
  <dc:creator>Industry Skills Australia</dc:creator>
  <cp:keywords>Release: 2</cp:keywords>
  <dc:description>Review Date: 12 April 2008</dc:description>
  <cp:lastModifiedBy>HSD_TPCMSd.prod</cp:lastModifiedBy>
  <cp:revision>3</cp:revision>
  <dcterms:created xsi:type="dcterms:W3CDTF">2025-03-01T10:34:00Z</dcterms:created>
  <dcterms:modified xsi:type="dcterms:W3CDTF">2025-03-01T10:34:00Z</dcterms:modified>
</cp:coreProperties>
</file>