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301" w:rsidP="005A6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TLIC3017 Shunt rolling stock</w:t>
      </w:r>
      <w:r>
        <w:fldChar w:fldCharType="end"/>
      </w:r>
    </w:p>
    <w:p w:rsidR="005A6301" w:rsidP="005A6301">
      <w:pPr>
        <w:pStyle w:val="Version"/>
        <w:sectPr w:rsidSect="00FB0E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0E12" w:rsidP="00FB0E12">
      <w:pPr>
        <w:pStyle w:val="SuperHeading"/>
      </w:pPr>
      <w:r w:rsidRPr="00FB0E12">
        <w:t>TLIC3017 Shunt rolling stock</w:t>
      </w:r>
    </w:p>
    <w:p w:rsidR="00000000" w:rsidRPr="00FB0E12" w:rsidP="00FB0E12">
      <w:pPr>
        <w:pStyle w:val="Heading1"/>
      </w:pPr>
      <w:bookmarkStart w:id="1" w:name="O_1196424"/>
      <w:bookmarkEnd w:id="1"/>
      <w:r w:rsidRPr="00FB0E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Release 2.</w:t>
            </w:r>
            <w:r w:rsidRPr="00FB0E12">
              <w:t xml:space="preserve"> This is the second release of this unit of competency in the TLI Transport and Logistics Training Package:</w:t>
            </w:r>
          </w:p>
          <w:p w:rsidR="00000000" w:rsidRPr="00FB0E12" w:rsidP="00FB0E12">
            <w:pPr>
              <w:pStyle w:val="ListBullet"/>
            </w:pPr>
            <w:r w:rsidRPr="00FB0E12">
              <w:t>Minor statement terminology changes in Performance Criteria</w:t>
            </w:r>
          </w:p>
          <w:p w:rsidR="00000000" w:rsidRPr="00FB0E12" w:rsidP="00FB0E12">
            <w:pPr>
              <w:pStyle w:val="ListBullet"/>
            </w:pPr>
            <w:r w:rsidRPr="00FB0E12">
              <w:t>Minor statement changes in Knowledge Evidence</w:t>
            </w:r>
          </w:p>
          <w:p w:rsidR="00000000" w:rsidP="00FB0E12">
            <w:pPr>
              <w:pStyle w:val="ListBullet"/>
              <w:rPr>
                <w:lang w:val="en-NZ"/>
              </w:rPr>
            </w:pPr>
            <w:r w:rsidRPr="00FB0E12">
              <w:t>Minor stat</w:t>
            </w:r>
            <w:r w:rsidRPr="00FB0E12">
              <w:t>ement changes in Assessment Conditions.</w:t>
            </w:r>
          </w:p>
        </w:tc>
      </w:tr>
      <w:tr w:rsidTr="00FB0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Release 1.</w:t>
            </w:r>
            <w:r w:rsidRPr="00FB0E12">
              <w:t xml:space="preserve"> This is the first release of this unit of competency in the TLI Transport and Logistics Training Package.</w:t>
            </w:r>
          </w:p>
        </w:tc>
      </w:tr>
    </w:tbl>
    <w:p w:rsidR="005A6301" w:rsidP="00FB0E12">
      <w:pPr>
        <w:pStyle w:val="NoPaddingFontSize1"/>
      </w:pPr>
    </w:p>
    <w:p w:rsidR="005A6301" w:rsidP="00FB0E12">
      <w:pPr>
        <w:pStyle w:val="NoPaddingFontSize1"/>
      </w:pPr>
    </w:p>
    <w:p w:rsidR="00000000" w:rsidRPr="00FB0E12" w:rsidP="00FB0E12">
      <w:pPr>
        <w:pStyle w:val="Heading1"/>
      </w:pPr>
      <w:bookmarkStart w:id="2" w:name="O_1196423"/>
      <w:bookmarkEnd w:id="2"/>
      <w:r w:rsidRPr="00FB0E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t xml:space="preserve">This unit involves the skills and knowledge required to safely </w:t>
            </w:r>
            <w:r w:rsidRPr="00FB0E12">
              <w:t>shunt rolling stock in accordance with system of safeworking and regulatory requirements, and workplace procedures.</w:t>
            </w:r>
          </w:p>
          <w:p w:rsidR="00000000" w:rsidRPr="00FB0E12" w:rsidP="00FB0E12">
            <w:pPr>
              <w:pStyle w:val="BodyText"/>
            </w:pPr>
            <w:r w:rsidRPr="00FB0E12">
              <w:t>It includes controlling and directing the physical movement of rolling stock and operating relevant equipment to carry out planned shunting strategy.</w:t>
            </w:r>
          </w:p>
          <w:p w:rsidR="00000000" w:rsidRPr="00FB0E12" w:rsidP="00FB0E12">
            <w:pPr>
              <w:pStyle w:val="BodyText"/>
            </w:pPr>
            <w:r w:rsidRPr="00FB0E12">
              <w:t>People achieving competence in this unit will need to fulfil the applicable state/territory legislated rai</w:t>
            </w:r>
            <w:r w:rsidRPr="00FB0E12">
              <w:t>l safety requirements and to comply with relevant codes of practice and/or guidelines.</w:t>
            </w:r>
          </w:p>
          <w:p w:rsidR="00000000" w:rsidRPr="00FB0E12" w:rsidP="00FB0E12">
            <w:pPr>
              <w:pStyle w:val="BodyText"/>
            </w:pPr>
            <w:r w:rsidRPr="00FB0E12">
              <w:t>Work is performed under some supervision, generally within a team environment.</w:t>
            </w:r>
          </w:p>
          <w:p w:rsidR="00000000" w:rsidRPr="00FB0E12" w:rsidP="00FB0E12">
            <w:pPr>
              <w:pStyle w:val="BodyText"/>
            </w:pPr>
            <w:r w:rsidRPr="00FB0E12">
              <w:t>It involves the application of routine operational principles and procedures when carrying</w:t>
            </w:r>
            <w:r w:rsidRPr="00FB0E12">
              <w:t xml:space="preserve"> out shunting activities as part of workplace activities across a variety of operational contexts within the Australian rail system.</w:t>
            </w:r>
          </w:p>
          <w:p w:rsidR="00000000" w:rsidRPr="00FB0E12" w:rsidP="00FB0E12">
            <w:pPr>
              <w:pStyle w:val="BodyText"/>
            </w:pPr>
            <w:r w:rsidRPr="00FB0E12">
              <w:t>No licensing, legislative or certification requirements apply to this unit at the time of publication.</w:t>
            </w:r>
          </w:p>
        </w:tc>
      </w:tr>
    </w:tbl>
    <w:p w:rsidR="005A6301" w:rsidP="00FB0E12">
      <w:pPr>
        <w:pStyle w:val="NoPaddingFontSize1"/>
      </w:pPr>
    </w:p>
    <w:p w:rsidR="005A6301" w:rsidP="00FB0E12">
      <w:pPr>
        <w:pStyle w:val="NoPaddingFontSize1"/>
      </w:pPr>
    </w:p>
    <w:p w:rsidR="00000000" w:rsidRPr="00FB0E12" w:rsidP="00FB0E12">
      <w:pPr>
        <w:pStyle w:val="Heading1"/>
      </w:pPr>
      <w:bookmarkStart w:id="3" w:name="O_1196422"/>
      <w:bookmarkEnd w:id="3"/>
      <w:r w:rsidRPr="00FB0E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t>Not applicable.</w:t>
            </w:r>
          </w:p>
        </w:tc>
      </w:tr>
    </w:tbl>
    <w:p w:rsidR="005A6301" w:rsidP="00FB0E12">
      <w:pPr>
        <w:pStyle w:val="NoPaddingFontSize1"/>
      </w:pPr>
    </w:p>
    <w:p w:rsidR="005A6301" w:rsidP="00FB0E12">
      <w:pPr>
        <w:pStyle w:val="NoPaddingFontSize1"/>
      </w:pPr>
    </w:p>
    <w:p w:rsidR="00000000" w:rsidRPr="00FB0E12" w:rsidP="00FB0E12">
      <w:pPr>
        <w:pStyle w:val="Heading1"/>
      </w:pPr>
      <w:bookmarkStart w:id="4" w:name="O_1196421"/>
      <w:bookmarkEnd w:id="4"/>
      <w:r w:rsidRPr="00FB0E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t>C – Vehicle Operation.</w:t>
            </w:r>
          </w:p>
        </w:tc>
      </w:tr>
    </w:tbl>
    <w:p w:rsidR="005A6301" w:rsidP="00FB0E12">
      <w:pPr>
        <w:pStyle w:val="NoPaddingFontSize1"/>
      </w:pPr>
    </w:p>
    <w:p w:rsidR="005A6301" w:rsidP="00FB0E12">
      <w:pPr>
        <w:pStyle w:val="NoPaddingFontSize1"/>
      </w:pPr>
    </w:p>
    <w:p w:rsidR="00000000" w:rsidRPr="00FB0E12" w:rsidP="00FB0E12">
      <w:pPr>
        <w:pStyle w:val="Heading1"/>
      </w:pPr>
      <w:bookmarkStart w:id="5" w:name="O_1196420"/>
      <w:bookmarkEnd w:id="5"/>
      <w:r w:rsidRPr="00FB0E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t>Rail sector.</w:t>
            </w:r>
          </w:p>
        </w:tc>
      </w:tr>
    </w:tbl>
    <w:p w:rsidR="005A6301" w:rsidP="00FB0E12">
      <w:pPr>
        <w:pStyle w:val="NoPaddingFontSize1"/>
      </w:pPr>
    </w:p>
    <w:p w:rsidR="005A6301" w:rsidP="00FB0E12">
      <w:pPr>
        <w:pStyle w:val="NoPaddingFontSize1"/>
      </w:pPr>
    </w:p>
    <w:p w:rsidR="00000000" w:rsidRPr="00FB0E12" w:rsidP="00FB0E12">
      <w:pPr>
        <w:pStyle w:val="Heading1"/>
      </w:pPr>
      <w:bookmarkStart w:id="6" w:name="O_1196419"/>
      <w:bookmarkEnd w:id="6"/>
      <w:r w:rsidRPr="00FB0E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4"/>
        <w:gridCol w:w="1968"/>
        <w:gridCol w:w="507"/>
        <w:gridCol w:w="6407"/>
      </w:tblGrid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PERFORMANCE CRITERIA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Performance criteria describe the performance needed to demonstrate achievement of the element.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Plan and prepare for shunting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Shunting requirements are interpreted and clarified, and vehicles and equipment are obtained and prepared in accordance with shunting strategy or plan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Rolling stock movements, availability and locations are established to determine appropriate sidin</w:t>
            </w:r>
            <w:r w:rsidRPr="00FB0E12">
              <w:t>g and/or track locations for vehicle placement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 xml:space="preserve">Relevant work health and safety (WHS)/occupational health and safety (OHS) legislation, codes of practice, workplace policies and procedures, and </w:t>
            </w:r>
            <w:r w:rsidRPr="00FB0E12">
              <w:t>systems of safeworking and requirements related to shunting are identified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Carry out shunting control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Points, levers, switches, signals and line of sight communications are used to assist the control of rolling stock movement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Unifo</w:t>
            </w:r>
            <w:r w:rsidRPr="00FB0E12">
              <w:t xml:space="preserve">rm hand signals, light and radio shunting commands that conform with operational rules and statutory requirements are used 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Relevant WHS/OHS requirements are followed to prevent injury and damage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Rolling stock cards are checked and wagons are obtained and sorted to comply with shunting plan requirements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Shunting control techniques are applied to prevent damage of rolling stock and loads/contents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Shunt rolling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Workplace procedures for shunting are identified and applied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Rolling stock is positioned to meet shunting requirements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Coupling systems are identified and applied to attach and detach rolling stock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Connecting brake hoses, electrical couplings and hand brakes are connected/disconnected and applied/released in accordance with operational and WHS/OHS requirements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Rolling stock is shunted with the minimum of necessary moves within governing safety requirements and limitations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rPr>
                <w:rStyle w:val="SpecialBold"/>
              </w:rPr>
              <w:t>Finalise train consist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t>Train consists are made up in accordance with workplace procedures and timetabling requirements</w:t>
            </w:r>
          </w:p>
        </w:tc>
      </w:tr>
      <w:tr w:rsidTr="005A630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E12">
            <w:pPr>
              <w:pStyle w:val="BodyText"/>
              <w:rPr>
                <w:lang w:val="en-NZ"/>
              </w:rPr>
            </w:pPr>
            <w:r w:rsidRPr="00FB0E12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t>Irregular</w:t>
            </w:r>
            <w:r w:rsidRPr="00FB0E12">
              <w:t>ities and defects with rolling stock equipment are reported in accordance with operational requirements</w:t>
            </w:r>
          </w:p>
        </w:tc>
      </w:tr>
    </w:tbl>
    <w:p w:rsidR="005A6301" w:rsidP="00FB0E12">
      <w:pPr>
        <w:pStyle w:val="NoPaddingFontSize1"/>
      </w:pPr>
    </w:p>
    <w:p w:rsidR="005A6301" w:rsidP="00FB0E12">
      <w:pPr>
        <w:pStyle w:val="NoPaddingFontSize1"/>
      </w:pPr>
    </w:p>
    <w:p w:rsidR="00000000" w:rsidRPr="00FB0E12" w:rsidP="00FB0E12">
      <w:pPr>
        <w:pStyle w:val="Heading1"/>
      </w:pPr>
      <w:bookmarkStart w:id="7" w:name="O_1196418"/>
      <w:bookmarkEnd w:id="7"/>
      <w:r w:rsidRPr="00FB0E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t>Foundation skills essential to performance are explicit in the performance criteria of this unit of competency.</w:t>
            </w:r>
          </w:p>
        </w:tc>
      </w:tr>
    </w:tbl>
    <w:p w:rsidR="005A6301" w:rsidP="00FB0E12">
      <w:pPr>
        <w:pStyle w:val="NoPaddingFontSize1"/>
      </w:pPr>
    </w:p>
    <w:p w:rsidR="005A6301" w:rsidP="00FB0E12">
      <w:pPr>
        <w:pStyle w:val="NoPaddingFontSize1"/>
      </w:pPr>
    </w:p>
    <w:p w:rsidR="00000000" w:rsidRPr="00FB0E12" w:rsidP="00FB0E12">
      <w:pPr>
        <w:pStyle w:val="Heading1"/>
      </w:pPr>
      <w:bookmarkStart w:id="8" w:name="O_1196417"/>
      <w:bookmarkEnd w:id="8"/>
      <w:r w:rsidRPr="00FB0E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t>Range is restricted to essential operating conditions and any other variables essential to the work environment.</w:t>
            </w:r>
          </w:p>
        </w:tc>
      </w:tr>
    </w:tbl>
    <w:p w:rsidR="005A6301" w:rsidP="00FB0E12">
      <w:pPr>
        <w:pStyle w:val="NoPaddingFontSize1"/>
      </w:pPr>
    </w:p>
    <w:p w:rsidR="005A6301" w:rsidP="00FB0E12">
      <w:pPr>
        <w:pStyle w:val="NoPaddingFontSize1"/>
      </w:pPr>
    </w:p>
    <w:p w:rsidR="00000000" w:rsidRPr="00FB0E12" w:rsidP="00FB0E12">
      <w:pPr>
        <w:pStyle w:val="Heading1"/>
      </w:pPr>
      <w:bookmarkStart w:id="9" w:name="O_1196416"/>
      <w:bookmarkEnd w:id="9"/>
      <w:r w:rsidRPr="00FB0E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B0E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E12" w:rsidP="00FB0E12">
            <w:pPr>
              <w:pStyle w:val="BodyText"/>
            </w:pPr>
            <w:r w:rsidRPr="00FB0E12">
              <w:t>This unit replaces and is equivalent to TLIC3017A Shunt rolling stock.</w:t>
            </w:r>
          </w:p>
        </w:tc>
      </w:tr>
    </w:tbl>
    <w:p w:rsidR="005A6301" w:rsidP="00FB0E12">
      <w:pPr>
        <w:pStyle w:val="NoPaddingFontSize1"/>
      </w:pPr>
    </w:p>
    <w:p w:rsidR="005A6301" w:rsidP="00FB0E12">
      <w:pPr>
        <w:pStyle w:val="NoPaddingFontSize1"/>
      </w:pPr>
    </w:p>
    <w:p w:rsidR="00000000" w:rsidRPr="00FB0E12" w:rsidP="00FB0E12">
      <w:pPr>
        <w:pStyle w:val="Heading1"/>
      </w:pPr>
      <w:bookmarkStart w:id="10" w:name="O_1196425"/>
      <w:bookmarkEnd w:id="10"/>
      <w:r w:rsidRPr="00FB0E12">
        <w:t>Links</w:t>
      </w:r>
    </w:p>
    <w:p w:rsidR="00000000" w:rsidRPr="00FB0E12" w:rsidP="005A6301">
      <w:pPr>
        <w:pStyle w:val="BodyText"/>
      </w:pPr>
      <w:r w:rsidRPr="00FB0E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7663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B0E12" w:rsidP="00FB0E12"/>
    <w:sectPr w:rsidSect="00FB0E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12" w:rsidRPr="005A6301" w:rsidP="005A6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01" w:rsidP="00FB0E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6301" w:rsidP="00FB0E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A6301" w:rsidP="00FB0E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E12" w:rsidRPr="005A6301" w:rsidP="005A6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E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301" w:rsidRPr="002D2AF8" w:rsidP="00FB0E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TLIC3017 Shunt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A6301" w:rsidP="00FB0E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028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866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E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E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E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E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E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E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E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E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E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E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E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E12"/>
  </w:style>
  <w:style w:type="character" w:customStyle="1" w:styleId="Heading1Char">
    <w:name w:val="Heading 1 Char"/>
    <w:basedOn w:val="DefaultParagraphFont"/>
    <w:link w:val="Heading1"/>
    <w:rsid w:val="00FB0E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E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E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E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E12"/>
    <w:rPr>
      <w:b/>
      <w:spacing w:val="0"/>
    </w:rPr>
  </w:style>
  <w:style w:type="paragraph" w:customStyle="1" w:styleId="SuperHeading">
    <w:name w:val="SuperHeading"/>
    <w:basedOn w:val="Normal"/>
    <w:rsid w:val="00FB0E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E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B0E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E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E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E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E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E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E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E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E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E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E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E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E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E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E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E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E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E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E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E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E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0E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0E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E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E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E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E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E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E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E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E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E12"/>
    <w:rPr>
      <w:i/>
    </w:rPr>
  </w:style>
  <w:style w:type="paragraph" w:styleId="Caption">
    <w:name w:val="caption"/>
    <w:basedOn w:val="BodyText"/>
    <w:next w:val="Normal"/>
    <w:qFormat/>
    <w:rsid w:val="00FB0E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E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E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E12"/>
  </w:style>
  <w:style w:type="paragraph" w:styleId="TableofFigures">
    <w:name w:val="table of figures"/>
    <w:basedOn w:val="Normal"/>
    <w:next w:val="Normal"/>
    <w:semiHidden/>
    <w:rsid w:val="00FB0E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E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0E12"/>
    <w:rPr>
      <w:rFonts w:ascii="Wingdings" w:hAnsi="Wingdings"/>
    </w:rPr>
  </w:style>
  <w:style w:type="paragraph" w:customStyle="1" w:styleId="TableHeading">
    <w:name w:val="Table Heading"/>
    <w:basedOn w:val="HeadingBase"/>
    <w:rsid w:val="00FB0E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E12"/>
    <w:rPr>
      <w:color w:val="0033CC"/>
      <w:u w:val="none"/>
    </w:rPr>
  </w:style>
  <w:style w:type="paragraph" w:customStyle="1" w:styleId="BodyTextRight">
    <w:name w:val="Body Text Right"/>
    <w:basedOn w:val="BodyText"/>
    <w:rsid w:val="00FB0E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E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E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E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E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E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E12"/>
    <w:rPr>
      <w:sz w:val="32"/>
    </w:rPr>
  </w:style>
  <w:style w:type="paragraph" w:customStyle="1" w:styleId="HeadingProcedure">
    <w:name w:val="Heading Procedure"/>
    <w:basedOn w:val="HeadingBase"/>
    <w:next w:val="Normal"/>
    <w:rsid w:val="00FB0E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E12"/>
    <w:pPr>
      <w:spacing w:before="60" w:after="60"/>
    </w:pPr>
  </w:style>
  <w:style w:type="paragraph" w:styleId="ListContinue">
    <w:name w:val="List Continue"/>
    <w:basedOn w:val="List"/>
    <w:rsid w:val="00FB0E12"/>
    <w:pPr>
      <w:ind w:firstLine="0"/>
    </w:pPr>
  </w:style>
  <w:style w:type="paragraph" w:customStyle="1" w:styleId="ListNote">
    <w:name w:val="List Note"/>
    <w:basedOn w:val="List"/>
    <w:rsid w:val="00FB0E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E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E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E12"/>
    <w:rPr>
      <w:rFonts w:ascii="Courier New" w:hAnsi="Courier New"/>
    </w:rPr>
  </w:style>
  <w:style w:type="paragraph" w:customStyle="1" w:styleId="NoteBullet">
    <w:name w:val="Note Bullet"/>
    <w:basedOn w:val="Note"/>
    <w:rsid w:val="00FB0E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E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E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E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E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0E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E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E12"/>
    <w:rPr>
      <w:b/>
      <w:smallCaps/>
    </w:rPr>
  </w:style>
  <w:style w:type="paragraph" w:customStyle="1" w:styleId="TableListNumber">
    <w:name w:val="Table List Number"/>
    <w:basedOn w:val="ListNumber"/>
    <w:rsid w:val="00FB0E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E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E12"/>
    <w:pPr>
      <w:numPr>
        <w:numId w:val="8"/>
      </w:numPr>
    </w:pPr>
  </w:style>
  <w:style w:type="paragraph" w:customStyle="1" w:styleId="ListAlpha2">
    <w:name w:val="List Alpha 2"/>
    <w:basedOn w:val="List2"/>
    <w:rsid w:val="00FB0E12"/>
    <w:pPr>
      <w:numPr>
        <w:numId w:val="7"/>
      </w:numPr>
    </w:pPr>
  </w:style>
  <w:style w:type="paragraph" w:styleId="List2">
    <w:name w:val="List 2"/>
    <w:basedOn w:val="BodyText"/>
    <w:rsid w:val="00FB0E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E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E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E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E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E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0E12"/>
    <w:pPr>
      <w:numPr>
        <w:numId w:val="3"/>
      </w:numPr>
    </w:pPr>
  </w:style>
  <w:style w:type="paragraph" w:styleId="ListContinue2">
    <w:name w:val="List Continue 2"/>
    <w:basedOn w:val="List2"/>
    <w:rsid w:val="00FB0E12"/>
    <w:pPr>
      <w:ind w:firstLine="0"/>
    </w:pPr>
  </w:style>
  <w:style w:type="paragraph" w:styleId="ListContinue3">
    <w:name w:val="List Continue 3"/>
    <w:basedOn w:val="List3"/>
    <w:rsid w:val="00FB0E12"/>
    <w:pPr>
      <w:ind w:left="1021" w:firstLine="0"/>
    </w:pPr>
  </w:style>
  <w:style w:type="paragraph" w:styleId="ListContinue4">
    <w:name w:val="List Continue 4"/>
    <w:basedOn w:val="List4"/>
    <w:rsid w:val="00FB0E12"/>
    <w:pPr>
      <w:ind w:firstLine="0"/>
    </w:pPr>
  </w:style>
  <w:style w:type="paragraph" w:styleId="ListContinue5">
    <w:name w:val="List Continue 5"/>
    <w:basedOn w:val="List5"/>
    <w:rsid w:val="00FB0E12"/>
    <w:pPr>
      <w:ind w:firstLine="0"/>
    </w:pPr>
  </w:style>
  <w:style w:type="paragraph" w:styleId="ListNumber3">
    <w:name w:val="List Number 3"/>
    <w:basedOn w:val="List3"/>
    <w:rsid w:val="00FB0E12"/>
    <w:pPr>
      <w:numPr>
        <w:numId w:val="4"/>
      </w:numPr>
    </w:pPr>
  </w:style>
  <w:style w:type="paragraph" w:styleId="ListNumber4">
    <w:name w:val="List Number 4"/>
    <w:basedOn w:val="List4"/>
    <w:rsid w:val="00FB0E12"/>
    <w:pPr>
      <w:numPr>
        <w:numId w:val="5"/>
      </w:numPr>
    </w:pPr>
  </w:style>
  <w:style w:type="paragraph" w:styleId="ListNumber5">
    <w:name w:val="List Number 5"/>
    <w:basedOn w:val="List5"/>
    <w:rsid w:val="00FB0E12"/>
    <w:pPr>
      <w:numPr>
        <w:numId w:val="6"/>
      </w:numPr>
    </w:pPr>
  </w:style>
  <w:style w:type="paragraph" w:styleId="BlockText">
    <w:name w:val="Block Text"/>
    <w:basedOn w:val="Normal"/>
    <w:rsid w:val="00FB0E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E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E12"/>
    <w:rPr>
      <w:sz w:val="16"/>
      <w:vertAlign w:val="superscript"/>
    </w:rPr>
  </w:style>
  <w:style w:type="character" w:customStyle="1" w:styleId="Symbols">
    <w:name w:val="Symbols"/>
    <w:basedOn w:val="DefaultParagraphFont"/>
    <w:rsid w:val="00FB0E12"/>
    <w:rPr>
      <w:rFonts w:ascii="Symbol" w:hAnsi="Symbol"/>
    </w:rPr>
  </w:style>
  <w:style w:type="character" w:customStyle="1" w:styleId="MenuOptions">
    <w:name w:val="Menu Options"/>
    <w:basedOn w:val="DefaultParagraphFont"/>
    <w:rsid w:val="00FB0E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E12"/>
    <w:rPr>
      <w:b/>
    </w:rPr>
  </w:style>
  <w:style w:type="character" w:customStyle="1" w:styleId="Underlined">
    <w:name w:val="Underlined"/>
    <w:basedOn w:val="DefaultParagraphFont"/>
    <w:rsid w:val="00FB0E12"/>
    <w:rPr>
      <w:u w:val="single"/>
    </w:rPr>
  </w:style>
  <w:style w:type="paragraph" w:customStyle="1" w:styleId="TableBodyTextRight">
    <w:name w:val="Table Body Text Right"/>
    <w:basedOn w:val="TableBodyText"/>
    <w:rsid w:val="00FB0E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E12"/>
    <w:rPr>
      <w:sz w:val="18"/>
    </w:rPr>
  </w:style>
  <w:style w:type="paragraph" w:customStyle="1" w:styleId="BodySmallRight">
    <w:name w:val="Body Small Right"/>
    <w:basedOn w:val="BodyTextRight"/>
    <w:rsid w:val="00FB0E12"/>
    <w:rPr>
      <w:sz w:val="18"/>
      <w:szCs w:val="18"/>
    </w:rPr>
  </w:style>
  <w:style w:type="paragraph" w:customStyle="1" w:styleId="MarginEdition">
    <w:name w:val="Margin Edition"/>
    <w:basedOn w:val="MarginNote"/>
    <w:rsid w:val="00FB0E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E12"/>
    <w:rPr>
      <w:sz w:val="2"/>
      <w:szCs w:val="2"/>
    </w:rPr>
  </w:style>
  <w:style w:type="character" w:customStyle="1" w:styleId="Small">
    <w:name w:val="Small"/>
    <w:basedOn w:val="DefaultParagraphFont"/>
    <w:rsid w:val="00FB0E12"/>
    <w:rPr>
      <w:sz w:val="16"/>
    </w:rPr>
  </w:style>
  <w:style w:type="paragraph" w:customStyle="1" w:styleId="WideTable">
    <w:name w:val="Wide Table"/>
    <w:basedOn w:val="Normal"/>
    <w:rsid w:val="00FB0E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E12"/>
  </w:style>
  <w:style w:type="paragraph" w:styleId="Quote">
    <w:name w:val="Quote"/>
    <w:basedOn w:val="Heading1"/>
    <w:link w:val="QuoteChar"/>
    <w:qFormat/>
    <w:rsid w:val="00FB0E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E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E12"/>
    <w:pPr>
      <w:pageBreakBefore/>
    </w:pPr>
  </w:style>
  <w:style w:type="paragraph" w:customStyle="1" w:styleId="Border">
    <w:name w:val="Border"/>
    <w:basedOn w:val="Normal"/>
    <w:qFormat/>
    <w:rsid w:val="00FB0E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E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E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E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E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E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E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E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E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E12"/>
    <w:rPr>
      <w:u w:val="single"/>
    </w:rPr>
  </w:style>
  <w:style w:type="character" w:customStyle="1" w:styleId="BoldandItalics">
    <w:name w:val="Bold and Italics"/>
    <w:qFormat/>
    <w:rsid w:val="00FB0E12"/>
    <w:rPr>
      <w:b/>
      <w:i/>
      <w:u w:val="none"/>
    </w:rPr>
  </w:style>
  <w:style w:type="paragraph" w:styleId="BalloonText">
    <w:name w:val="Balloon Text"/>
    <w:basedOn w:val="Normal"/>
    <w:link w:val="BalloonTextChar"/>
    <w:rsid w:val="00FB0E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E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E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E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E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E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E12"/>
    <w:pPr>
      <w:spacing w:before="0" w:after="0"/>
    </w:pPr>
  </w:style>
  <w:style w:type="paragraph" w:customStyle="1" w:styleId="BodyTextBold">
    <w:name w:val="Body Text Bold"/>
    <w:basedOn w:val="BodyText"/>
    <w:qFormat/>
    <w:rsid w:val="00FB0E12"/>
    <w:rPr>
      <w:b/>
    </w:rPr>
  </w:style>
  <w:style w:type="character" w:styleId="Hyperlink">
    <w:name w:val="Hyperlink"/>
    <w:basedOn w:val="DefaultParagraphFont"/>
    <w:uiPriority w:val="99"/>
    <w:unhideWhenUsed/>
    <w:rsid w:val="005A6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3786</Characters>
  <Application>Microsoft Office Word</Application>
  <DocSecurity>0</DocSecurity>
  <Lines>157</Lines>
  <Paragraphs>87</Paragraphs>
  <ScaleCrop>false</ScaleCrop>
  <Company>Author-it Software Corporation Ltd.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TLIC3017 Shunt rolling stock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