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AF7" w:rsidP="007C7AF7">
      <w:pPr>
        <w:pStyle w:val="Title"/>
      </w:pPr>
      <w:r>
        <w:fldChar w:fldCharType="begin"/>
      </w:r>
      <w:r>
        <w:instrText xml:space="preserve"> TITLE   \* MERGEFORMAT </w:instrText>
      </w:r>
      <w:r>
        <w:fldChar w:fldCharType="separate"/>
      </w:r>
      <w:r>
        <w:t>TLIC3005 Drive heavy combination vehicle</w:t>
      </w:r>
      <w:r>
        <w:fldChar w:fldCharType="end"/>
      </w:r>
    </w:p>
    <w:p w:rsidR="007C7AF7" w:rsidP="007C7AF7">
      <w:pPr>
        <w:pStyle w:val="Version"/>
        <w:sectPr w:rsidSect="006E62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E621E" w:rsidP="006E621E">
      <w:pPr>
        <w:pStyle w:val="SuperHeading"/>
      </w:pPr>
      <w:r w:rsidRPr="006E621E">
        <w:t>TLIC3005 Drive heavy combination vehicle</w:t>
      </w:r>
    </w:p>
    <w:p w:rsidR="00000000" w:rsidRPr="006E621E" w:rsidP="006E621E">
      <w:pPr>
        <w:pStyle w:val="Heading1"/>
      </w:pPr>
      <w:bookmarkStart w:id="1" w:name="O_1066729"/>
      <w:bookmarkEnd w:id="1"/>
      <w:r w:rsidRPr="006E621E">
        <w:t>Modification History</w:t>
      </w:r>
    </w:p>
    <w:tbl>
      <w:tblPr>
        <w:tblW w:w="9497" w:type="dxa"/>
        <w:tblLayout w:type="fixed"/>
        <w:tblCellMar>
          <w:left w:w="62" w:type="dxa"/>
          <w:right w:w="62" w:type="dxa"/>
        </w:tblCellMar>
        <w:tblLook w:val="0000"/>
      </w:tblPr>
      <w:tblGrid>
        <w:gridCol w:w="9497"/>
      </w:tblGrid>
      <w:tr w:rsidTr="006E62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21E" w:rsidP="006E621E">
            <w:pPr>
              <w:pStyle w:val="BodyText"/>
            </w:pPr>
            <w:r w:rsidRPr="006E621E">
              <w:rPr>
                <w:rStyle w:val="SpecialBold"/>
              </w:rPr>
              <w:t xml:space="preserve">Release 2. </w:t>
            </w:r>
            <w:r w:rsidRPr="006E621E">
              <w:t>This is the second release of this unit of competency in the TLI Transport and Logistics Training Package:</w:t>
            </w:r>
          </w:p>
          <w:p w:rsidR="00000000" w:rsidP="006E621E">
            <w:pPr>
              <w:pStyle w:val="ListBullet"/>
              <w:rPr>
                <w:lang w:val="en-NZ"/>
              </w:rPr>
            </w:pPr>
            <w:r w:rsidRPr="006E621E">
              <w:t>Minor statement changes in Assessment Conditions.</w:t>
            </w:r>
          </w:p>
        </w:tc>
      </w:tr>
      <w:tr w:rsidTr="006E62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21E" w:rsidP="006E621E">
            <w:pPr>
              <w:pStyle w:val="BodyText"/>
            </w:pPr>
            <w:r w:rsidRPr="006E621E">
              <w:rPr>
                <w:rStyle w:val="SpecialBold"/>
              </w:rPr>
              <w:t>Release 1</w:t>
            </w:r>
            <w:r w:rsidRPr="006E621E">
              <w:t>. This is the first release of this unit of competency i</w:t>
            </w:r>
            <w:r w:rsidRPr="006E621E">
              <w:t>n the TLI Transport and Logistics Training Package.</w:t>
            </w:r>
          </w:p>
        </w:tc>
      </w:tr>
    </w:tbl>
    <w:p w:rsidR="00000000" w:rsidRPr="006E621E" w:rsidP="006E621E">
      <w:pPr>
        <w:pStyle w:val="NoPaddingFontSize1"/>
      </w:pPr>
    </w:p>
    <w:p w:rsidR="00000000" w:rsidRPr="006E621E" w:rsidP="006E621E">
      <w:pPr>
        <w:pStyle w:val="AllowPageBreak"/>
      </w:pPr>
    </w:p>
    <w:p w:rsidR="00000000" w:rsidRPr="006E621E" w:rsidP="006E621E">
      <w:pPr>
        <w:pStyle w:val="Heading1"/>
      </w:pPr>
      <w:bookmarkStart w:id="2" w:name="O_1066728"/>
      <w:bookmarkEnd w:id="2"/>
      <w:r w:rsidRPr="006E621E">
        <w:t>Application</w:t>
      </w:r>
    </w:p>
    <w:tbl>
      <w:tblPr>
        <w:tblW w:w="9498" w:type="dxa"/>
        <w:tblLayout w:type="fixed"/>
        <w:tblCellMar>
          <w:left w:w="62" w:type="dxa"/>
          <w:right w:w="62" w:type="dxa"/>
        </w:tblCellMar>
        <w:tblLook w:val="0000"/>
      </w:tblPr>
      <w:tblGrid>
        <w:gridCol w:w="9498"/>
      </w:tblGrid>
      <w:tr w:rsidTr="006E621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E621E" w:rsidP="006E621E">
            <w:pPr>
              <w:pStyle w:val="BodyText"/>
            </w:pPr>
            <w:r w:rsidRPr="006E621E">
              <w:t>This unit involves the skills and knowledge required to drive a heavy combination vehicle safely.</w:t>
            </w:r>
          </w:p>
          <w:p w:rsidR="00000000" w:rsidRPr="006E621E" w:rsidP="006E621E">
            <w:pPr>
              <w:pStyle w:val="BodyText"/>
            </w:pPr>
            <w:r w:rsidRPr="006E621E">
              <w:t>It includes maintaining systematic and efficient control of all vehicle f</w:t>
            </w:r>
            <w:r w:rsidRPr="006E621E">
              <w:t xml:space="preserve">unctions, monitoring traffic and road conditions, managing vehicle condition and performance, coupling and uncoupling a trailer, and effectively managing hazardous situations. </w:t>
            </w:r>
          </w:p>
          <w:p w:rsidR="00000000" w:rsidRPr="006E621E" w:rsidP="006E621E">
            <w:pPr>
              <w:pStyle w:val="BodyText"/>
            </w:pPr>
            <w:r w:rsidRPr="006E621E">
              <w:t>Driving must be carried out in accordance with relevant state/territory roads a</w:t>
            </w:r>
            <w:r w:rsidRPr="006E621E">
              <w:t>nd traffic authority licence requirements and regulations for heavy combination vehicles.</w:t>
            </w:r>
          </w:p>
          <w:p w:rsidR="00000000" w:rsidRPr="006E621E" w:rsidP="006E621E">
            <w:pPr>
              <w:pStyle w:val="BodyText"/>
            </w:pPr>
            <w:r w:rsidRPr="006E621E">
              <w:t>Driving is performed with limited supervision, and duty of care responsibility for self and others in achieving the prescribed outcomes.</w:t>
            </w:r>
          </w:p>
          <w:p w:rsidR="00000000" w:rsidRPr="006E621E" w:rsidP="006E621E">
            <w:pPr>
              <w:pStyle w:val="BodyText"/>
            </w:pPr>
            <w:r w:rsidRPr="006E621E">
              <w:t>No licensing, legislative or certification requirements apply to this unit at the time of publication.</w:t>
            </w:r>
          </w:p>
        </w:tc>
      </w:tr>
    </w:tbl>
    <w:p w:rsidR="007C7AF7" w:rsidP="006E621E">
      <w:pPr>
        <w:pStyle w:val="BodyText"/>
      </w:pPr>
    </w:p>
    <w:p w:rsidR="007C7AF7" w:rsidP="006E621E">
      <w:pPr>
        <w:pStyle w:val="BodyText"/>
      </w:pPr>
    </w:p>
    <w:p w:rsidR="00000000" w:rsidRPr="006E621E" w:rsidP="006E621E">
      <w:pPr>
        <w:pStyle w:val="Heading1"/>
      </w:pPr>
      <w:bookmarkStart w:id="3" w:name="O_1066727"/>
      <w:bookmarkEnd w:id="3"/>
      <w:r w:rsidRPr="006E621E">
        <w:t>Pre-requisite Unit</w:t>
      </w:r>
    </w:p>
    <w:p w:rsidR="007C7AF7" w:rsidP="007C7AF7">
      <w:pPr>
        <w:pStyle w:val="BodyText"/>
      </w:pPr>
      <w:r w:rsidRPr="006E621E">
        <w:t>Not applicable.</w:t>
      </w:r>
    </w:p>
    <w:p w:rsidR="00000000" w:rsidRPr="006E621E" w:rsidP="006E621E">
      <w:pPr>
        <w:pStyle w:val="Heading1"/>
      </w:pPr>
      <w:bookmarkStart w:id="4" w:name="O_1066726"/>
      <w:bookmarkEnd w:id="4"/>
      <w:r w:rsidRPr="006E621E">
        <w:t>Competency Field</w:t>
      </w:r>
    </w:p>
    <w:p w:rsidR="007C7AF7" w:rsidP="007C7AF7">
      <w:pPr>
        <w:pStyle w:val="BodyText"/>
      </w:pPr>
      <w:r w:rsidRPr="006E621E">
        <w:t>C – Vehicle Operation</w:t>
      </w:r>
    </w:p>
    <w:p w:rsidR="00000000" w:rsidRPr="006E621E" w:rsidP="006E621E">
      <w:pPr>
        <w:pStyle w:val="Heading1"/>
      </w:pPr>
      <w:bookmarkStart w:id="5" w:name="O_1066725"/>
      <w:bookmarkEnd w:id="5"/>
      <w:r w:rsidRPr="006E621E">
        <w:t>Unit Sector</w:t>
      </w:r>
    </w:p>
    <w:p w:rsidR="007C7AF7" w:rsidP="007C7AF7">
      <w:pPr>
        <w:pStyle w:val="BodyText"/>
      </w:pPr>
      <w:r w:rsidRPr="006E621E">
        <w:t>Not a</w:t>
      </w:r>
      <w:r w:rsidRPr="006E621E">
        <w:t>pplicable.</w:t>
      </w:r>
    </w:p>
    <w:p w:rsidR="00000000" w:rsidRPr="006E621E" w:rsidP="006E621E">
      <w:pPr>
        <w:pStyle w:val="Heading1"/>
      </w:pPr>
      <w:bookmarkStart w:id="6" w:name="O_1066724"/>
      <w:bookmarkEnd w:id="6"/>
      <w:r w:rsidRPr="006E621E">
        <w:t>Elements and Performance Criteria</w:t>
      </w:r>
    </w:p>
    <w:tbl>
      <w:tblPr>
        <w:tblW w:w="0" w:type="auto"/>
        <w:tblLayout w:type="fixed"/>
        <w:tblCellMar>
          <w:left w:w="62" w:type="dxa"/>
          <w:right w:w="62" w:type="dxa"/>
        </w:tblCellMar>
        <w:tblLook w:val="0000"/>
      </w:tblPr>
      <w:tblGrid>
        <w:gridCol w:w="434"/>
        <w:gridCol w:w="2591"/>
        <w:gridCol w:w="720"/>
        <w:gridCol w:w="5280"/>
      </w:tblGrid>
      <w:tr w:rsidTr="006E621E">
        <w:tblPrEx>
          <w:tblW w:w="0" w:type="auto"/>
          <w:tblLayout w:type="fixed"/>
          <w:tblCellMar>
            <w:left w:w="62" w:type="dxa"/>
            <w:right w:w="62" w:type="dxa"/>
          </w:tblCellMar>
          <w:tblLook w:val="0000"/>
        </w:tblPrEx>
        <w:tc>
          <w:tcPr>
            <w:tcW w:w="3025" w:type="dxa"/>
            <w:gridSpan w:val="2"/>
            <w:tcBorders>
              <w:top w:val="nil"/>
              <w:left w:val="nil"/>
              <w:bottom w:val="nil"/>
              <w:right w:val="nil"/>
            </w:tcBorders>
            <w:tcMar>
              <w:top w:w="0" w:type="dxa"/>
              <w:left w:w="62" w:type="dxa"/>
              <w:bottom w:w="0" w:type="dxa"/>
              <w:right w:w="62" w:type="dxa"/>
            </w:tcMar>
          </w:tcPr>
          <w:p w:rsidR="00000000" w:rsidRPr="006E621E" w:rsidP="006E621E">
            <w:pPr>
              <w:pStyle w:val="BodyText"/>
            </w:pPr>
            <w:r w:rsidRPr="006E621E">
              <w:rPr>
                <w:rStyle w:val="SpecialBold"/>
              </w:rPr>
              <w:t>ELEMENTS</w:t>
            </w:r>
          </w:p>
        </w:tc>
        <w:tc>
          <w:tcPr>
            <w:tcW w:w="6000" w:type="dxa"/>
            <w:gridSpan w:val="2"/>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rPr>
                <w:rStyle w:val="SpecialBold"/>
              </w:rPr>
              <w:t>PERFORMANCE CRITERIA</w:t>
            </w:r>
          </w:p>
        </w:tc>
      </w:tr>
      <w:tr w:rsidTr="006E621E">
        <w:tblPrEx>
          <w:tblW w:w="0" w:type="auto"/>
          <w:tblLayout w:type="fixed"/>
          <w:tblCellMar>
            <w:left w:w="62" w:type="dxa"/>
            <w:right w:w="62" w:type="dxa"/>
          </w:tblCellMar>
          <w:tblLook w:val="0000"/>
        </w:tblPrEx>
        <w:tc>
          <w:tcPr>
            <w:tcW w:w="3025" w:type="dxa"/>
            <w:gridSpan w:val="2"/>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t>Elements describe the essential outcomes.</w:t>
            </w:r>
          </w:p>
        </w:tc>
        <w:tc>
          <w:tcPr>
            <w:tcW w:w="6000" w:type="dxa"/>
            <w:gridSpan w:val="2"/>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t>Performance criteria describe the performance needed to demonstrate achievement of the element.</w:t>
            </w:r>
          </w:p>
        </w:tc>
      </w:tr>
      <w:tr w:rsidTr="006E621E">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RPr="006E621E" w:rsidP="006E621E">
            <w:pPr>
              <w:pStyle w:val="BodyText"/>
            </w:pPr>
            <w:r w:rsidRPr="006E621E">
              <w:rPr>
                <w:rStyle w:val="SpecialBold"/>
              </w:rPr>
              <w:t xml:space="preserve">1 </w:t>
            </w:r>
          </w:p>
        </w:tc>
        <w:tc>
          <w:tcPr>
            <w:tcW w:w="2591" w:type="dxa"/>
            <w:tcBorders>
              <w:top w:val="nil"/>
              <w:left w:val="nil"/>
              <w:bottom w:val="nil"/>
              <w:right w:val="nil"/>
            </w:tcBorders>
            <w:tcMar>
              <w:top w:w="0" w:type="dxa"/>
              <w:left w:w="62" w:type="dxa"/>
              <w:bottom w:w="0" w:type="dxa"/>
              <w:right w:w="62" w:type="dxa"/>
            </w:tcMar>
          </w:tcPr>
          <w:p w:rsidR="00000000" w:rsidRPr="006E621E" w:rsidP="006E621E">
            <w:pPr>
              <w:pStyle w:val="BodyText"/>
            </w:pPr>
            <w:r w:rsidRPr="006E621E">
              <w:rPr>
                <w:rStyle w:val="SpecialBold"/>
              </w:rPr>
              <w:t>Drive heavy combination vehicle</w:t>
            </w:r>
          </w:p>
        </w:tc>
        <w:tc>
          <w:tcPr>
            <w:tcW w:w="72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rPr>
                <w:rStyle w:val="SpecialBold"/>
              </w:rPr>
              <w:t>1.1</w:t>
            </w:r>
          </w:p>
        </w:tc>
        <w:tc>
          <w:tcPr>
            <w:tcW w:w="528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t>Heavy combination vehicle is started, steered, manoeuvred, positioned and stopped in accordance with traffic regulations and manufacturer instructions</w:t>
            </w:r>
          </w:p>
        </w:tc>
      </w:tr>
      <w:tr w:rsidTr="006E621E">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91" w:type="dxa"/>
            <w:tcBorders>
              <w:top w:val="nil"/>
              <w:left w:val="nil"/>
              <w:bottom w:val="nil"/>
              <w:right w:val="nil"/>
            </w:tcBorders>
            <w:tcMar>
              <w:top w:w="0" w:type="dxa"/>
              <w:left w:w="62" w:type="dxa"/>
              <w:bottom w:w="0" w:type="dxa"/>
              <w:right w:w="62" w:type="dxa"/>
            </w:tcMar>
          </w:tcPr>
          <w:p w:rsidR="00000000" w:rsidRPr="006E621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rPr>
                <w:rStyle w:val="SpecialBold"/>
              </w:rPr>
              <w:t>1.2</w:t>
            </w:r>
          </w:p>
        </w:tc>
        <w:tc>
          <w:tcPr>
            <w:tcW w:w="528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t xml:space="preserve">Engine power is managed to ensure efficiency and performance, </w:t>
            </w:r>
            <w:r w:rsidRPr="006E621E">
              <w:t>and to minimise engine and gear damage</w:t>
            </w:r>
          </w:p>
        </w:tc>
      </w:tr>
      <w:tr w:rsidTr="006E621E">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91" w:type="dxa"/>
            <w:tcBorders>
              <w:top w:val="nil"/>
              <w:left w:val="nil"/>
              <w:bottom w:val="nil"/>
              <w:right w:val="nil"/>
            </w:tcBorders>
            <w:tcMar>
              <w:top w:w="0" w:type="dxa"/>
              <w:left w:w="62" w:type="dxa"/>
              <w:bottom w:w="0" w:type="dxa"/>
              <w:right w:w="62" w:type="dxa"/>
            </w:tcMar>
          </w:tcPr>
          <w:p w:rsidR="00000000" w:rsidRPr="006E621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rPr>
                <w:rStyle w:val="SpecialBold"/>
              </w:rPr>
              <w:t>1.3</w:t>
            </w:r>
          </w:p>
        </w:tc>
        <w:tc>
          <w:tcPr>
            <w:tcW w:w="528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t>Engine operation is maintained within the manufacturer specified torque range and temperature, through effective gear selection and smooth transition in gear changes</w:t>
            </w:r>
          </w:p>
        </w:tc>
      </w:tr>
      <w:tr w:rsidTr="006E621E">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91" w:type="dxa"/>
            <w:tcBorders>
              <w:top w:val="nil"/>
              <w:left w:val="nil"/>
              <w:bottom w:val="nil"/>
              <w:right w:val="nil"/>
            </w:tcBorders>
            <w:tcMar>
              <w:top w:w="0" w:type="dxa"/>
              <w:left w:w="62" w:type="dxa"/>
              <w:bottom w:w="0" w:type="dxa"/>
              <w:right w:w="62" w:type="dxa"/>
            </w:tcMar>
          </w:tcPr>
          <w:p w:rsidR="00000000" w:rsidRPr="006E621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rPr>
                <w:rStyle w:val="SpecialBold"/>
              </w:rPr>
              <w:t>1.4</w:t>
            </w:r>
          </w:p>
        </w:tc>
        <w:tc>
          <w:tcPr>
            <w:tcW w:w="528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t>Heavy combination vehicle braking system is managed and operated to ensure effective vehicle control under all conditions</w:t>
            </w:r>
          </w:p>
        </w:tc>
      </w:tr>
      <w:tr w:rsidTr="006E621E">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91" w:type="dxa"/>
            <w:tcBorders>
              <w:top w:val="nil"/>
              <w:left w:val="nil"/>
              <w:bottom w:val="nil"/>
              <w:right w:val="nil"/>
            </w:tcBorders>
            <w:tcMar>
              <w:top w:w="0" w:type="dxa"/>
              <w:left w:w="62" w:type="dxa"/>
              <w:bottom w:w="0" w:type="dxa"/>
              <w:right w:w="62" w:type="dxa"/>
            </w:tcMar>
          </w:tcPr>
          <w:p w:rsidR="00000000" w:rsidRPr="006E621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rPr>
                <w:rStyle w:val="SpecialBold"/>
              </w:rPr>
              <w:t>1.5</w:t>
            </w:r>
          </w:p>
        </w:tc>
        <w:tc>
          <w:tcPr>
            <w:tcW w:w="528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t>Driving hazards are identified and/or anticipated and avoided or controlled through defensive driving</w:t>
            </w:r>
          </w:p>
        </w:tc>
      </w:tr>
      <w:tr w:rsidTr="006E621E">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91" w:type="dxa"/>
            <w:tcBorders>
              <w:top w:val="nil"/>
              <w:left w:val="nil"/>
              <w:bottom w:val="nil"/>
              <w:right w:val="nil"/>
            </w:tcBorders>
            <w:tcMar>
              <w:top w:w="0" w:type="dxa"/>
              <w:left w:w="62" w:type="dxa"/>
              <w:bottom w:w="0" w:type="dxa"/>
              <w:right w:w="62" w:type="dxa"/>
            </w:tcMar>
          </w:tcPr>
          <w:p w:rsidR="00000000" w:rsidRPr="006E621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rPr>
                <w:rStyle w:val="SpecialBold"/>
              </w:rPr>
              <w:t>1.6</w:t>
            </w:r>
          </w:p>
        </w:tc>
        <w:tc>
          <w:tcPr>
            <w:tcW w:w="528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t xml:space="preserve">Heavy combination </w:t>
            </w:r>
            <w:r w:rsidRPr="006E621E">
              <w:t>vehicle is driven in reverse, maintaining visibility and achieving accurate positioning</w:t>
            </w:r>
          </w:p>
        </w:tc>
      </w:tr>
      <w:tr w:rsidTr="006E621E">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91" w:type="dxa"/>
            <w:tcBorders>
              <w:top w:val="nil"/>
              <w:left w:val="nil"/>
              <w:bottom w:val="nil"/>
              <w:right w:val="nil"/>
            </w:tcBorders>
            <w:tcMar>
              <w:top w:w="0" w:type="dxa"/>
              <w:left w:w="62" w:type="dxa"/>
              <w:bottom w:w="0" w:type="dxa"/>
              <w:right w:w="62" w:type="dxa"/>
            </w:tcMar>
          </w:tcPr>
          <w:p w:rsidR="00000000" w:rsidRPr="006E621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rPr>
                <w:rStyle w:val="SpecialBold"/>
              </w:rPr>
              <w:t>1.7</w:t>
            </w:r>
          </w:p>
        </w:tc>
        <w:tc>
          <w:tcPr>
            <w:tcW w:w="528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t>Heavy combination vehicle is parked, uncoupled, shut down and secured in accordance with manufacturer specifications, traffic regulations and workplace procedures</w:t>
            </w:r>
          </w:p>
        </w:tc>
      </w:tr>
      <w:tr w:rsidTr="006E621E">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91" w:type="dxa"/>
            <w:tcBorders>
              <w:top w:val="nil"/>
              <w:left w:val="nil"/>
              <w:bottom w:val="nil"/>
              <w:right w:val="nil"/>
            </w:tcBorders>
            <w:tcMar>
              <w:top w:w="0" w:type="dxa"/>
              <w:left w:w="62" w:type="dxa"/>
              <w:bottom w:w="0" w:type="dxa"/>
              <w:right w:w="62" w:type="dxa"/>
            </w:tcMar>
          </w:tcPr>
          <w:p w:rsidR="00000000" w:rsidRPr="006E621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rPr>
                <w:rStyle w:val="SpecialBold"/>
              </w:rPr>
              <w:t>1.8</w:t>
            </w:r>
          </w:p>
        </w:tc>
        <w:tc>
          <w:tcPr>
            <w:tcW w:w="528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t>Over width and overweight permit applications are completed and submitted in accordanc</w:t>
            </w:r>
            <w:r w:rsidRPr="006E621E">
              <w:t>e with relevant regulatory requirements, as required</w:t>
            </w:r>
          </w:p>
        </w:tc>
      </w:tr>
      <w:tr w:rsidTr="006E621E">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91" w:type="dxa"/>
            <w:tcBorders>
              <w:top w:val="nil"/>
              <w:left w:val="nil"/>
              <w:bottom w:val="nil"/>
              <w:right w:val="nil"/>
            </w:tcBorders>
            <w:tcMar>
              <w:top w:w="0" w:type="dxa"/>
              <w:left w:w="62" w:type="dxa"/>
              <w:bottom w:w="0" w:type="dxa"/>
              <w:right w:w="62" w:type="dxa"/>
            </w:tcMar>
          </w:tcPr>
          <w:p w:rsidR="00000000" w:rsidRPr="006E621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rPr>
                <w:rStyle w:val="SpecialBold"/>
              </w:rPr>
              <w:t>1.9</w:t>
            </w:r>
          </w:p>
        </w:tc>
        <w:tc>
          <w:tcPr>
            <w:tcW w:w="528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t>Appropriate signage and lights are checked for operational effectiveness and for conformity to prescribed traffic regulations</w:t>
            </w:r>
          </w:p>
        </w:tc>
      </w:tr>
      <w:tr w:rsidTr="006E621E">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91" w:type="dxa"/>
            <w:tcBorders>
              <w:top w:val="nil"/>
              <w:left w:val="nil"/>
              <w:bottom w:val="nil"/>
              <w:right w:val="nil"/>
            </w:tcBorders>
            <w:tcMar>
              <w:top w:w="0" w:type="dxa"/>
              <w:left w:w="62" w:type="dxa"/>
              <w:bottom w:w="0" w:type="dxa"/>
              <w:right w:w="62" w:type="dxa"/>
            </w:tcMar>
          </w:tcPr>
          <w:p w:rsidR="00000000" w:rsidRPr="006E621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rPr>
                <w:rStyle w:val="SpecialBold"/>
              </w:rPr>
              <w:t>1.10</w:t>
            </w:r>
          </w:p>
        </w:tc>
        <w:tc>
          <w:tcPr>
            <w:tcW w:w="528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t>Appropriate procedures are followed in a driving emergency</w:t>
            </w:r>
          </w:p>
        </w:tc>
      </w:tr>
      <w:tr w:rsidTr="006E621E">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RPr="006E621E" w:rsidP="006E621E">
            <w:pPr>
              <w:pStyle w:val="BodyText"/>
            </w:pPr>
            <w:r w:rsidRPr="006E621E">
              <w:rPr>
                <w:rStyle w:val="SpecialBold"/>
              </w:rPr>
              <w:t>2</w:t>
            </w:r>
          </w:p>
        </w:tc>
        <w:tc>
          <w:tcPr>
            <w:tcW w:w="2591" w:type="dxa"/>
            <w:tcBorders>
              <w:top w:val="nil"/>
              <w:left w:val="nil"/>
              <w:bottom w:val="nil"/>
              <w:right w:val="nil"/>
            </w:tcBorders>
            <w:tcMar>
              <w:top w:w="0" w:type="dxa"/>
              <w:left w:w="62" w:type="dxa"/>
              <w:bottom w:w="0" w:type="dxa"/>
              <w:right w:w="62" w:type="dxa"/>
            </w:tcMar>
          </w:tcPr>
          <w:p w:rsidR="00000000" w:rsidRPr="006E621E" w:rsidP="006E621E">
            <w:pPr>
              <w:pStyle w:val="BodyText"/>
            </w:pPr>
            <w:r w:rsidRPr="006E621E">
              <w:rPr>
                <w:rStyle w:val="SpecialBold"/>
              </w:rPr>
              <w:t>Monitor traffic and road conditions</w:t>
            </w:r>
          </w:p>
        </w:tc>
        <w:tc>
          <w:tcPr>
            <w:tcW w:w="72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rPr>
                <w:rStyle w:val="SpecialBold"/>
              </w:rPr>
              <w:t>2.1</w:t>
            </w:r>
          </w:p>
        </w:tc>
        <w:tc>
          <w:tcPr>
            <w:tcW w:w="528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t xml:space="preserve">Most efficient route of travel is taken by monitoring and anticipating traffic flows and conditions, road standards and other factors likely to cause delays or </w:t>
            </w:r>
            <w:r w:rsidRPr="006E621E">
              <w:t>route deviations</w:t>
            </w:r>
          </w:p>
        </w:tc>
      </w:tr>
      <w:tr w:rsidTr="006E621E">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91" w:type="dxa"/>
            <w:tcBorders>
              <w:top w:val="nil"/>
              <w:left w:val="nil"/>
              <w:bottom w:val="nil"/>
              <w:right w:val="nil"/>
            </w:tcBorders>
            <w:tcMar>
              <w:top w:w="0" w:type="dxa"/>
              <w:left w:w="62" w:type="dxa"/>
              <w:bottom w:w="0" w:type="dxa"/>
              <w:right w:w="62" w:type="dxa"/>
            </w:tcMar>
          </w:tcPr>
          <w:p w:rsidR="00000000" w:rsidRPr="006E621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rPr>
                <w:rStyle w:val="SpecialBold"/>
              </w:rPr>
              <w:t>2.2</w:t>
            </w:r>
          </w:p>
        </w:tc>
        <w:tc>
          <w:tcPr>
            <w:tcW w:w="528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t>Traffic and road conditions are constantly monitored and acted on to enable safe operation and to ensure no injury to people or damage to property, equipment loads and facilities</w:t>
            </w:r>
          </w:p>
        </w:tc>
      </w:tr>
      <w:tr w:rsidTr="006E621E">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RPr="006E621E" w:rsidP="006E621E">
            <w:pPr>
              <w:pStyle w:val="BodyText"/>
            </w:pPr>
            <w:r w:rsidRPr="006E621E">
              <w:rPr>
                <w:rStyle w:val="SpecialBold"/>
              </w:rPr>
              <w:t>3</w:t>
            </w:r>
          </w:p>
        </w:tc>
        <w:tc>
          <w:tcPr>
            <w:tcW w:w="2591" w:type="dxa"/>
            <w:tcBorders>
              <w:top w:val="nil"/>
              <w:left w:val="nil"/>
              <w:bottom w:val="nil"/>
              <w:right w:val="nil"/>
            </w:tcBorders>
            <w:tcMar>
              <w:top w:w="0" w:type="dxa"/>
              <w:left w:w="62" w:type="dxa"/>
              <w:bottom w:w="0" w:type="dxa"/>
              <w:right w:w="62" w:type="dxa"/>
            </w:tcMar>
          </w:tcPr>
          <w:p w:rsidR="00000000" w:rsidRPr="006E621E" w:rsidP="006E621E">
            <w:pPr>
              <w:pStyle w:val="BodyText"/>
            </w:pPr>
            <w:r w:rsidRPr="006E621E">
              <w:rPr>
                <w:rStyle w:val="SpecialBold"/>
              </w:rPr>
              <w:t>Monitor and maintain vehicle performance</w:t>
            </w:r>
          </w:p>
        </w:tc>
        <w:tc>
          <w:tcPr>
            <w:tcW w:w="72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rPr>
                <w:rStyle w:val="SpecialBold"/>
              </w:rPr>
              <w:t>3.1</w:t>
            </w:r>
          </w:p>
        </w:tc>
        <w:tc>
          <w:tcPr>
            <w:tcW w:w="528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t>Vehicle performance is maintained through pre-operational inspections and vehicle checks</w:t>
            </w:r>
          </w:p>
        </w:tc>
      </w:tr>
      <w:tr w:rsidTr="006E621E">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91" w:type="dxa"/>
            <w:tcBorders>
              <w:top w:val="nil"/>
              <w:left w:val="nil"/>
              <w:bottom w:val="nil"/>
              <w:right w:val="nil"/>
            </w:tcBorders>
            <w:tcMar>
              <w:top w:w="0" w:type="dxa"/>
              <w:left w:w="62" w:type="dxa"/>
              <w:bottom w:w="0" w:type="dxa"/>
              <w:right w:w="62" w:type="dxa"/>
            </w:tcMar>
          </w:tcPr>
          <w:p w:rsidR="00000000" w:rsidRPr="006E621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rPr>
                <w:rStyle w:val="SpecialBold"/>
              </w:rPr>
              <w:t>3.2</w:t>
            </w:r>
          </w:p>
        </w:tc>
        <w:tc>
          <w:tcPr>
            <w:tcW w:w="528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t>Prime mover and trailer are aligned and coupled in accordance with manufacturer instructions and workplace procedures</w:t>
            </w:r>
          </w:p>
        </w:tc>
      </w:tr>
      <w:tr w:rsidTr="006E621E">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91" w:type="dxa"/>
            <w:tcBorders>
              <w:top w:val="nil"/>
              <w:left w:val="nil"/>
              <w:bottom w:val="nil"/>
              <w:right w:val="nil"/>
            </w:tcBorders>
            <w:tcMar>
              <w:top w:w="0" w:type="dxa"/>
              <w:left w:w="62" w:type="dxa"/>
              <w:bottom w:w="0" w:type="dxa"/>
              <w:right w:w="62" w:type="dxa"/>
            </w:tcMar>
          </w:tcPr>
          <w:p w:rsidR="00000000" w:rsidRPr="006E621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rPr>
                <w:rStyle w:val="SpecialBold"/>
              </w:rPr>
              <w:t>3.3</w:t>
            </w:r>
          </w:p>
        </w:tc>
        <w:tc>
          <w:tcPr>
            <w:tcW w:w="528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t>Coupled vehicle is checked and test</w:t>
            </w:r>
            <w:r w:rsidRPr="006E621E">
              <w:t>ed to ensure it is correctly secured and to confirm it is fully operational</w:t>
            </w:r>
          </w:p>
        </w:tc>
      </w:tr>
      <w:tr w:rsidTr="006E621E">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91" w:type="dxa"/>
            <w:tcBorders>
              <w:top w:val="nil"/>
              <w:left w:val="nil"/>
              <w:bottom w:val="nil"/>
              <w:right w:val="nil"/>
            </w:tcBorders>
            <w:tcMar>
              <w:top w:w="0" w:type="dxa"/>
              <w:left w:w="62" w:type="dxa"/>
              <w:bottom w:w="0" w:type="dxa"/>
              <w:right w:w="62" w:type="dxa"/>
            </w:tcMar>
          </w:tcPr>
          <w:p w:rsidR="00000000" w:rsidRPr="006E621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rPr>
                <w:rStyle w:val="SpecialBold"/>
              </w:rPr>
              <w:t>3.4</w:t>
            </w:r>
          </w:p>
        </w:tc>
        <w:tc>
          <w:tcPr>
            <w:tcW w:w="528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t>Performance and efficiency of vehicle operation is monitored during use</w:t>
            </w:r>
          </w:p>
        </w:tc>
      </w:tr>
      <w:tr w:rsidTr="006E621E">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91" w:type="dxa"/>
            <w:tcBorders>
              <w:top w:val="nil"/>
              <w:left w:val="nil"/>
              <w:bottom w:val="nil"/>
              <w:right w:val="nil"/>
            </w:tcBorders>
            <w:tcMar>
              <w:top w:w="0" w:type="dxa"/>
              <w:left w:w="62" w:type="dxa"/>
              <w:bottom w:w="0" w:type="dxa"/>
              <w:right w:w="62" w:type="dxa"/>
            </w:tcMar>
          </w:tcPr>
          <w:p w:rsidR="00000000" w:rsidRPr="006E621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rPr>
                <w:rStyle w:val="SpecialBold"/>
              </w:rPr>
              <w:t>3.5</w:t>
            </w:r>
          </w:p>
        </w:tc>
        <w:tc>
          <w:tcPr>
            <w:tcW w:w="528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t>Defective or irregular performance or malfunctions are reported to appropriate authority</w:t>
            </w:r>
          </w:p>
        </w:tc>
      </w:tr>
      <w:tr w:rsidTr="006E621E">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91" w:type="dxa"/>
            <w:tcBorders>
              <w:top w:val="nil"/>
              <w:left w:val="nil"/>
              <w:bottom w:val="nil"/>
              <w:right w:val="nil"/>
            </w:tcBorders>
            <w:tcMar>
              <w:top w:w="0" w:type="dxa"/>
              <w:left w:w="62" w:type="dxa"/>
              <w:bottom w:w="0" w:type="dxa"/>
              <w:right w:w="62" w:type="dxa"/>
            </w:tcMar>
          </w:tcPr>
          <w:p w:rsidR="00000000" w:rsidRPr="006E621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6E621E">
            <w:pPr>
              <w:pStyle w:val="BodyText"/>
              <w:rPr>
                <w:lang w:val="en-NZ"/>
              </w:rPr>
            </w:pPr>
            <w:r w:rsidRPr="006E621E">
              <w:rPr>
                <w:rStyle w:val="SpecialBold"/>
              </w:rPr>
              <w:t>3.6</w:t>
            </w:r>
          </w:p>
        </w:tc>
        <w:tc>
          <w:tcPr>
            <w:tcW w:w="5280" w:type="dxa"/>
            <w:tcBorders>
              <w:top w:val="nil"/>
              <w:left w:val="nil"/>
              <w:bottom w:val="nil"/>
              <w:right w:val="nil"/>
            </w:tcBorders>
            <w:tcMar>
              <w:top w:w="0" w:type="dxa"/>
              <w:left w:w="62" w:type="dxa"/>
              <w:bottom w:w="0" w:type="dxa"/>
              <w:right w:w="62" w:type="dxa"/>
            </w:tcMar>
          </w:tcPr>
          <w:p w:rsidR="00000000" w:rsidRPr="006E621E" w:rsidP="006E621E">
            <w:pPr>
              <w:pStyle w:val="BodyText"/>
            </w:pPr>
            <w:r w:rsidRPr="006E621E">
              <w:t>Vehicle records are maintained/updated and information is processed in accordance with workplace procedures</w:t>
            </w:r>
          </w:p>
        </w:tc>
      </w:tr>
    </w:tbl>
    <w:p w:rsidR="00000000" w:rsidRPr="006E621E" w:rsidP="006E621E">
      <w:pPr>
        <w:pStyle w:val="NoPaddingFontSize1"/>
      </w:pPr>
    </w:p>
    <w:p w:rsidR="00000000" w:rsidRPr="006E621E" w:rsidP="006E621E">
      <w:pPr>
        <w:pStyle w:val="AllowPageBreak"/>
      </w:pPr>
    </w:p>
    <w:p w:rsidR="00000000" w:rsidRPr="006E621E" w:rsidP="006E621E">
      <w:pPr>
        <w:pStyle w:val="Heading1"/>
      </w:pPr>
      <w:bookmarkStart w:id="7" w:name="O_1066723"/>
      <w:bookmarkEnd w:id="7"/>
      <w:r w:rsidRPr="006E621E">
        <w:t>Foundation Skills</w:t>
      </w:r>
    </w:p>
    <w:p w:rsidR="007C7AF7" w:rsidP="007C7AF7">
      <w:pPr>
        <w:pStyle w:val="BodyText"/>
      </w:pPr>
      <w:r w:rsidRPr="006E621E">
        <w:t>Foundation skills essential to performance are explicit in the performance criteria of this unit of compe</w:t>
      </w:r>
      <w:r w:rsidRPr="006E621E">
        <w:t>tency.</w:t>
      </w:r>
    </w:p>
    <w:p w:rsidR="00000000" w:rsidRPr="006E621E" w:rsidP="006E621E">
      <w:pPr>
        <w:pStyle w:val="Heading1"/>
      </w:pPr>
      <w:bookmarkStart w:id="8" w:name="O_1066722"/>
      <w:bookmarkEnd w:id="8"/>
      <w:r w:rsidRPr="006E621E">
        <w:t>Range of Conditions</w:t>
      </w:r>
    </w:p>
    <w:p w:rsidR="00000000" w:rsidRPr="006E621E" w:rsidP="007C7AF7">
      <w:pPr>
        <w:pStyle w:val="BodyText"/>
      </w:pPr>
      <w:r w:rsidRPr="006E621E">
        <w:t>Range is restricted to essential operating conditions and any other variables essential to the work environment.</w:t>
      </w:r>
    </w:p>
    <w:p w:rsidR="007C7AF7" w:rsidP="007C7AF7">
      <w:pPr>
        <w:pStyle w:val="BodyText"/>
      </w:pPr>
      <w:r w:rsidRPr="006E621E">
        <w:t>Non-essential conditions can be found in the Companion Volume Implementation Guide.</w:t>
      </w:r>
    </w:p>
    <w:p w:rsidR="00000000" w:rsidRPr="006E621E" w:rsidP="006E621E">
      <w:pPr>
        <w:pStyle w:val="Heading1"/>
      </w:pPr>
      <w:bookmarkStart w:id="9" w:name="O_1066721"/>
      <w:bookmarkEnd w:id="9"/>
      <w:r w:rsidRPr="006E621E">
        <w:t>Unit Mapping Information</w:t>
      </w:r>
    </w:p>
    <w:p w:rsidR="007C7AF7" w:rsidP="007C7AF7">
      <w:pPr>
        <w:pStyle w:val="BodyText"/>
      </w:pPr>
      <w:r w:rsidRPr="006E621E">
        <w:t>This unit replaces and is equivalent to TLIC3005A Drive heavy combination vehicle.</w:t>
      </w:r>
    </w:p>
    <w:p w:rsidR="00000000" w:rsidRPr="006E621E" w:rsidP="006E621E">
      <w:pPr>
        <w:pStyle w:val="Heading1"/>
      </w:pPr>
      <w:bookmarkStart w:id="10" w:name="O_1066730"/>
      <w:bookmarkEnd w:id="10"/>
      <w:r w:rsidRPr="006E621E">
        <w:t>Links</w:t>
      </w:r>
    </w:p>
    <w:p w:rsidR="00000000" w:rsidRPr="006E621E" w:rsidP="007C7AF7">
      <w:pPr>
        <w:pStyle w:val="BodyText"/>
      </w:pPr>
      <w:r w:rsidRPr="006E621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3024E">
        <w:rPr>
          <w:rStyle w:val="Hyperlink"/>
        </w:rPr>
        <w:t>https://vetnet.gov.au/Pages/TrainingDocs.aspx?q=df441c6e-213d-43e3-874c-0b3f7036d851</w:t>
      </w:r>
      <w:r>
        <w:fldChar w:fldCharType="end"/>
      </w:r>
    </w:p>
    <w:p w:rsidR="00000000" w:rsidRPr="006E621E" w:rsidP="007C7AF7">
      <w:pPr>
        <w:pStyle w:val="BodyText"/>
        <w:sectPr w:rsidSect="006E621E">
          <w:headerReference w:type="default" r:id="rId10"/>
          <w:footerReference w:type="default" r:id="rId11"/>
          <w:pgSz w:w="11908" w:h="16833"/>
          <w:pgMar w:top="1702" w:right="1418" w:bottom="1702" w:left="1418" w:header="992" w:footer="992" w:gutter="0"/>
          <w:cols w:space="720"/>
          <w:noEndnote/>
          <w:docGrid w:linePitch="299"/>
        </w:sectPr>
      </w:pPr>
    </w:p>
    <w:p w:rsidR="00000000" w:rsidRPr="006E621E" w:rsidP="006E621E">
      <w:pPr>
        <w:pStyle w:val="SuperHeading"/>
      </w:pPr>
      <w:r w:rsidRPr="006E621E">
        <w:t>Assessment Requirements for TLIC3005 Drive heavy combination vehicle</w:t>
      </w:r>
    </w:p>
    <w:p w:rsidR="00000000" w:rsidRPr="006E621E" w:rsidP="006E621E">
      <w:pPr>
        <w:pStyle w:val="Heading1"/>
      </w:pPr>
      <w:bookmarkStart w:id="11" w:name="O_1066719"/>
      <w:bookmarkEnd w:id="11"/>
      <w:r w:rsidRPr="006E621E">
        <w:t>Modification History</w:t>
      </w:r>
    </w:p>
    <w:tbl>
      <w:tblPr>
        <w:tblW w:w="9497" w:type="dxa"/>
        <w:tblLayout w:type="fixed"/>
        <w:tblCellMar>
          <w:left w:w="62" w:type="dxa"/>
          <w:right w:w="62" w:type="dxa"/>
        </w:tblCellMar>
        <w:tblLook w:val="0000"/>
      </w:tblPr>
      <w:tblGrid>
        <w:gridCol w:w="9497"/>
      </w:tblGrid>
      <w:tr w:rsidTr="006E62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21E" w:rsidP="006E621E">
            <w:pPr>
              <w:pStyle w:val="BodyText"/>
            </w:pPr>
            <w:r w:rsidRPr="006E621E">
              <w:rPr>
                <w:rStyle w:val="SpecialBold"/>
              </w:rPr>
              <w:t xml:space="preserve">Release 2. </w:t>
            </w:r>
            <w:r w:rsidRPr="006E621E">
              <w:t xml:space="preserve">This is the second release of this unit of competency in </w:t>
            </w:r>
            <w:r w:rsidRPr="006E621E">
              <w:t>the TLI Transport and Logistics Training Package:</w:t>
            </w:r>
          </w:p>
          <w:p w:rsidR="00000000" w:rsidP="006E621E">
            <w:pPr>
              <w:pStyle w:val="ListBullet"/>
              <w:rPr>
                <w:lang w:val="en-NZ"/>
              </w:rPr>
            </w:pPr>
            <w:r w:rsidRPr="006E621E">
              <w:t>Minor statement changes in Assessment Conditions.</w:t>
            </w:r>
          </w:p>
        </w:tc>
      </w:tr>
      <w:tr w:rsidTr="006E62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21E" w:rsidP="006E621E">
            <w:pPr>
              <w:pStyle w:val="BodyText"/>
            </w:pPr>
            <w:r w:rsidRPr="006E621E">
              <w:rPr>
                <w:rStyle w:val="SpecialBold"/>
              </w:rPr>
              <w:t>Release 1</w:t>
            </w:r>
            <w:r w:rsidRPr="006E621E">
              <w:t>. This is the first release of this unit of competency in the TLI Transport and Logistics Training Package.</w:t>
            </w:r>
          </w:p>
        </w:tc>
      </w:tr>
    </w:tbl>
    <w:p w:rsidR="00000000" w:rsidRPr="006E621E" w:rsidP="006E621E">
      <w:pPr>
        <w:pStyle w:val="NoPaddingFontSize1"/>
      </w:pPr>
    </w:p>
    <w:p w:rsidR="00000000" w:rsidRPr="006E621E" w:rsidP="006E621E">
      <w:pPr>
        <w:pStyle w:val="AllowPageBreak"/>
      </w:pPr>
    </w:p>
    <w:p w:rsidR="00000000" w:rsidRPr="006E621E" w:rsidP="006E621E">
      <w:pPr>
        <w:pStyle w:val="Heading1"/>
      </w:pPr>
      <w:bookmarkStart w:id="12" w:name="O_1066718"/>
      <w:bookmarkEnd w:id="12"/>
      <w:r w:rsidRPr="006E621E">
        <w:t>Performance Evidence</w:t>
      </w:r>
    </w:p>
    <w:tbl>
      <w:tblPr>
        <w:tblW w:w="9497" w:type="dxa"/>
        <w:tblLayout w:type="fixed"/>
        <w:tblCellMar>
          <w:left w:w="62" w:type="dxa"/>
          <w:right w:w="62" w:type="dxa"/>
        </w:tblCellMar>
        <w:tblLook w:val="0000"/>
      </w:tblPr>
      <w:tblGrid>
        <w:gridCol w:w="9497"/>
      </w:tblGrid>
      <w:tr w:rsidTr="006E62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21E" w:rsidP="006E621E">
            <w:pPr>
              <w:pStyle w:val="BodyText"/>
            </w:pPr>
            <w:r w:rsidRPr="006E621E">
              <w:t>Evidence required to demonstrate competence in this unit must be relevant to and satisfy all of the requirements of the elements and performance criteria on at least one occasion and include:</w:t>
            </w:r>
          </w:p>
          <w:p w:rsidR="00000000" w:rsidRPr="006E621E" w:rsidP="006E621E">
            <w:pPr>
              <w:pStyle w:val="ListBullet"/>
            </w:pPr>
            <w:r w:rsidRPr="006E621E">
              <w:t>applying map reading and road navigation t</w:t>
            </w:r>
            <w:r w:rsidRPr="006E621E">
              <w:t>echniques</w:t>
            </w:r>
          </w:p>
          <w:p w:rsidR="00000000" w:rsidRPr="006E621E" w:rsidP="006E621E">
            <w:pPr>
              <w:pStyle w:val="ListBullet"/>
            </w:pPr>
            <w:r w:rsidRPr="006E621E">
              <w:t>applying precautions and required actions to minimise, control or eliminate identified hazards</w:t>
            </w:r>
          </w:p>
          <w:p w:rsidR="00000000" w:rsidRPr="006E621E" w:rsidP="006E621E">
            <w:pPr>
              <w:pStyle w:val="ListBullet"/>
            </w:pPr>
            <w:r w:rsidRPr="006E621E">
              <w:t>checking and replenishing fluids and carrying out lubrication processes</w:t>
            </w:r>
          </w:p>
          <w:p w:rsidR="00000000" w:rsidRPr="006E621E" w:rsidP="006E621E">
            <w:pPr>
              <w:pStyle w:val="ListBullet"/>
            </w:pPr>
            <w:r w:rsidRPr="006E621E">
              <w:t>completing relevant documentation</w:t>
            </w:r>
          </w:p>
          <w:p w:rsidR="00000000" w:rsidRPr="006E621E" w:rsidP="006E621E">
            <w:pPr>
              <w:pStyle w:val="ListBullet"/>
            </w:pPr>
            <w:r w:rsidRPr="006E621E">
              <w:t>demonstrating low-risk driving behaviours</w:t>
            </w:r>
          </w:p>
          <w:p w:rsidR="00000000" w:rsidRPr="006E621E" w:rsidP="006E621E">
            <w:pPr>
              <w:pStyle w:val="ListBullet"/>
            </w:pPr>
            <w:r w:rsidRPr="006E621E">
              <w:t>mon</w:t>
            </w:r>
            <w:r w:rsidRPr="006E621E">
              <w:t>itoring and anticipating traffic hazards and taking appropriate action</w:t>
            </w:r>
          </w:p>
          <w:p w:rsidR="00000000" w:rsidRPr="006E621E" w:rsidP="006E621E">
            <w:pPr>
              <w:pStyle w:val="ListBullet"/>
            </w:pPr>
            <w:r w:rsidRPr="006E621E">
              <w:t>monitoring performance of vehicle, trailers and equipment, and taking appropriate action as required</w:t>
            </w:r>
          </w:p>
          <w:p w:rsidR="00000000" w:rsidRPr="006E621E" w:rsidP="006E621E">
            <w:pPr>
              <w:pStyle w:val="ListBullet"/>
            </w:pPr>
            <w:r w:rsidRPr="006E621E">
              <w:t>reading and interpreting relevant instructions, procedures, information and signs</w:t>
            </w:r>
          </w:p>
          <w:p w:rsidR="00000000" w:rsidRPr="006E621E" w:rsidP="006E621E">
            <w:pPr>
              <w:pStyle w:val="ListBullet"/>
            </w:pPr>
            <w:r w:rsidRPr="006E621E">
              <w:t>reporting and/or rectifying identified problems, faults or malfunctions promptly in accordance with regulatory requirements and workplace procedures.</w:t>
            </w:r>
          </w:p>
        </w:tc>
      </w:tr>
    </w:tbl>
    <w:p w:rsidR="00000000" w:rsidRPr="006E621E" w:rsidP="006E621E">
      <w:pPr>
        <w:pStyle w:val="NoPaddingFontSize1"/>
      </w:pPr>
    </w:p>
    <w:p w:rsidR="00000000" w:rsidRPr="006E621E" w:rsidP="006E621E">
      <w:pPr>
        <w:pStyle w:val="AllowPageBreak"/>
      </w:pPr>
    </w:p>
    <w:p w:rsidR="00000000" w:rsidRPr="006E621E" w:rsidP="006E621E">
      <w:pPr>
        <w:pStyle w:val="Heading1"/>
      </w:pPr>
      <w:bookmarkStart w:id="13" w:name="O_1066717"/>
      <w:bookmarkEnd w:id="13"/>
      <w:r w:rsidRPr="006E621E">
        <w:t>Knowledge Evidence</w:t>
      </w:r>
    </w:p>
    <w:tbl>
      <w:tblPr>
        <w:tblW w:w="9497" w:type="dxa"/>
        <w:tblLayout w:type="fixed"/>
        <w:tblCellMar>
          <w:left w:w="62" w:type="dxa"/>
          <w:right w:w="62" w:type="dxa"/>
        </w:tblCellMar>
        <w:tblLook w:val="0000"/>
      </w:tblPr>
      <w:tblGrid>
        <w:gridCol w:w="9497"/>
      </w:tblGrid>
      <w:tr w:rsidTr="006E62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21E" w:rsidP="006E621E">
            <w:pPr>
              <w:pStyle w:val="BodyText"/>
            </w:pPr>
            <w:r w:rsidRPr="006E621E">
              <w:t>Evidence required to demonstrate competence in this unit must be r</w:t>
            </w:r>
            <w:r w:rsidRPr="006E621E">
              <w:t>elevant to and satisfy all of the requirements of the elements and performance criteria and include knowledge of:</w:t>
            </w:r>
          </w:p>
          <w:p w:rsidR="00000000" w:rsidRPr="006E621E" w:rsidP="006E621E">
            <w:pPr>
              <w:pStyle w:val="ListBullet"/>
            </w:pPr>
            <w:r w:rsidRPr="006E621E">
              <w:t>causes and effects of fatigue on drivers</w:t>
            </w:r>
          </w:p>
          <w:p w:rsidR="00000000" w:rsidRPr="006E621E" w:rsidP="006E621E">
            <w:pPr>
              <w:pStyle w:val="ListBullet"/>
            </w:pPr>
            <w:r w:rsidRPr="006E621E">
              <w:t>differences between transmission types</w:t>
            </w:r>
          </w:p>
          <w:p w:rsidR="00000000" w:rsidRPr="006E621E" w:rsidP="006E621E">
            <w:pPr>
              <w:pStyle w:val="ListBullet"/>
            </w:pPr>
            <w:r w:rsidRPr="006E621E">
              <w:t>driving hazards and related defensive driving techniques</w:t>
            </w:r>
          </w:p>
          <w:p w:rsidR="00000000" w:rsidRPr="006E621E" w:rsidP="006E621E">
            <w:pPr>
              <w:pStyle w:val="ListBullet"/>
            </w:pPr>
            <w:r w:rsidRPr="006E621E">
              <w:t>effi</w:t>
            </w:r>
            <w:r w:rsidRPr="006E621E">
              <w:t>cient driving techniques</w:t>
            </w:r>
          </w:p>
          <w:p w:rsidR="00000000" w:rsidRPr="006E621E" w:rsidP="006E621E">
            <w:pPr>
              <w:pStyle w:val="ListBullet"/>
            </w:pPr>
            <w:r w:rsidRPr="006E621E">
              <w:t>engine power management and safe driving strategies</w:t>
            </w:r>
          </w:p>
          <w:p w:rsidR="00000000" w:rsidRPr="006E621E" w:rsidP="006E621E">
            <w:pPr>
              <w:pStyle w:val="ListBullet"/>
            </w:pPr>
            <w:r w:rsidRPr="006E621E">
              <w:t>factors that increase fatigue-related accidents</w:t>
            </w:r>
          </w:p>
          <w:p w:rsidR="00000000" w:rsidRPr="006E621E" w:rsidP="006E621E">
            <w:pPr>
              <w:pStyle w:val="ListBullet"/>
            </w:pPr>
            <w:r w:rsidRPr="006E621E">
              <w:t>factors that may cause traffic delays and diversions, and related actions that can be taken</w:t>
            </w:r>
          </w:p>
          <w:p w:rsidR="00000000" w:rsidRPr="006E621E" w:rsidP="006E621E">
            <w:pPr>
              <w:pStyle w:val="ListBullet"/>
            </w:pPr>
            <w:r w:rsidRPr="006E621E">
              <w:t>fatigue management strategies including on-road techniques</w:t>
            </w:r>
          </w:p>
          <w:p w:rsidR="00000000" w:rsidRPr="006E621E" w:rsidP="006E621E">
            <w:pPr>
              <w:pStyle w:val="ListBullet"/>
            </w:pPr>
            <w:r w:rsidRPr="006E621E">
              <w:t>heavy combination vehicle controls, instruments and indicators, and their use</w:t>
            </w:r>
          </w:p>
          <w:p w:rsidR="00000000" w:rsidRPr="006E621E" w:rsidP="006E621E">
            <w:pPr>
              <w:pStyle w:val="ListBullet"/>
            </w:pPr>
            <w:r w:rsidRPr="006E621E">
              <w:t>heavy combination vehicle handling procedures</w:t>
            </w:r>
          </w:p>
          <w:p w:rsidR="00000000" w:rsidRPr="006E621E" w:rsidP="006E621E">
            <w:pPr>
              <w:pStyle w:val="ListBullet"/>
            </w:pPr>
            <w:r w:rsidRPr="006E621E">
              <w:t>lifestyles that promote effective long-term fatigue management</w:t>
            </w:r>
          </w:p>
          <w:p w:rsidR="00000000" w:rsidRPr="006E621E" w:rsidP="006E621E">
            <w:pPr>
              <w:pStyle w:val="ListBullet"/>
            </w:pPr>
            <w:r w:rsidRPr="006E621E">
              <w:t>map readin</w:t>
            </w:r>
            <w:r w:rsidRPr="006E621E">
              <w:t>g and navigation of vehicle and related action</w:t>
            </w:r>
          </w:p>
          <w:p w:rsidR="00000000" w:rsidRPr="006E621E" w:rsidP="006E621E">
            <w:pPr>
              <w:pStyle w:val="ListBullet"/>
            </w:pPr>
            <w:r w:rsidRPr="006E621E">
              <w:t>pre-operational checks carried out on heavy combination vehicle and related actions</w:t>
            </w:r>
          </w:p>
          <w:p w:rsidR="00000000" w:rsidRPr="006E621E" w:rsidP="006E621E">
            <w:pPr>
              <w:pStyle w:val="ListBullet"/>
            </w:pPr>
            <w:r w:rsidRPr="006E621E">
              <w:t>principles of operation of air brakes and procedures for their use</w:t>
            </w:r>
          </w:p>
          <w:p w:rsidR="00000000" w:rsidRPr="006E621E" w:rsidP="006E621E">
            <w:pPr>
              <w:pStyle w:val="ListBullet"/>
            </w:pPr>
            <w:r w:rsidRPr="006E621E">
              <w:t>principles of stress management when driving a vehicle</w:t>
            </w:r>
          </w:p>
          <w:p w:rsidR="00000000" w:rsidRPr="006E621E" w:rsidP="006E621E">
            <w:pPr>
              <w:pStyle w:val="ListBullet"/>
            </w:pPr>
            <w:r w:rsidRPr="006E621E">
              <w:t>pro</w:t>
            </w:r>
            <w:r w:rsidRPr="006E621E">
              <w:t>cedures to be followed in a driving emergency</w:t>
            </w:r>
          </w:p>
          <w:p w:rsidR="00000000" w:rsidRPr="006E621E" w:rsidP="006E621E">
            <w:pPr>
              <w:pStyle w:val="ListBullet"/>
            </w:pPr>
            <w:r w:rsidRPr="006E621E">
              <w:t>relevant state/territory road and traffic authority road rules, regulations, permits and licence requirements</w:t>
            </w:r>
          </w:p>
          <w:p w:rsidR="00000000" w:rsidRPr="006E621E" w:rsidP="006E621E">
            <w:pPr>
              <w:pStyle w:val="ListBullet"/>
            </w:pPr>
            <w:r w:rsidRPr="006E621E">
              <w:t>relevant work health and safety (WHS)/occupational health and safety (OHS) and environmental procedu</w:t>
            </w:r>
            <w:r w:rsidRPr="006E621E">
              <w:t>res and regulations</w:t>
            </w:r>
          </w:p>
          <w:p w:rsidR="00000000" w:rsidRPr="006E621E" w:rsidP="006E621E">
            <w:pPr>
              <w:pStyle w:val="ListBullet"/>
            </w:pPr>
            <w:r w:rsidRPr="006E621E">
              <w:t>workplace driving and operational instructions.</w:t>
            </w:r>
          </w:p>
        </w:tc>
      </w:tr>
    </w:tbl>
    <w:p w:rsidR="00000000" w:rsidRPr="006E621E" w:rsidP="006E621E">
      <w:pPr>
        <w:pStyle w:val="NoPaddingFontSize1"/>
      </w:pPr>
    </w:p>
    <w:p w:rsidR="00000000" w:rsidRPr="006E621E" w:rsidP="006E621E">
      <w:pPr>
        <w:pStyle w:val="AllowPageBreak"/>
      </w:pPr>
    </w:p>
    <w:p w:rsidR="00000000" w:rsidRPr="006E621E" w:rsidP="006E621E">
      <w:pPr>
        <w:pStyle w:val="Heading1"/>
      </w:pPr>
      <w:bookmarkStart w:id="14" w:name="O_1066716"/>
      <w:bookmarkEnd w:id="14"/>
      <w:r w:rsidRPr="006E621E">
        <w:t>Assessment Conditions</w:t>
      </w:r>
    </w:p>
    <w:tbl>
      <w:tblPr>
        <w:tblW w:w="9497" w:type="dxa"/>
        <w:tblLayout w:type="fixed"/>
        <w:tblCellMar>
          <w:left w:w="62" w:type="dxa"/>
          <w:right w:w="62" w:type="dxa"/>
        </w:tblCellMar>
        <w:tblLook w:val="0000"/>
      </w:tblPr>
      <w:tblGrid>
        <w:gridCol w:w="9497"/>
      </w:tblGrid>
      <w:tr w:rsidTr="006E62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621E" w:rsidP="006E621E">
            <w:pPr>
              <w:pStyle w:val="BodyText"/>
            </w:pPr>
            <w:r w:rsidRPr="006E621E">
              <w:t xml:space="preserve">Assessors must hold credentials specified within the Standards for Registered Training Organisations current at the time of assessment. </w:t>
            </w:r>
          </w:p>
          <w:p w:rsidR="00000000" w:rsidRPr="006E621E" w:rsidP="006E621E">
            <w:pPr>
              <w:pStyle w:val="BodyText"/>
            </w:pPr>
            <w:r w:rsidRPr="006E621E">
              <w:t>Assessment must satisfy the Principles of Assessment and Rules of Evidence and all regulatory requirements included within the Standards for Registered Training Organisations current at the time of assessment.</w:t>
            </w:r>
          </w:p>
          <w:p w:rsidR="00000000" w:rsidRPr="006E621E" w:rsidP="006E621E">
            <w:pPr>
              <w:pStyle w:val="BodyText"/>
            </w:pPr>
            <w:r w:rsidRPr="006E621E">
              <w:t>Assessment must occur in workplace operational</w:t>
            </w:r>
            <w:r w:rsidRPr="006E621E">
              <w:t xml:space="preserve"> situations where it is appropriate to do so; where this is not appropriate, assessment must occur in simulated workplace operational situations that replicate workplace conditions.</w:t>
            </w:r>
          </w:p>
          <w:p w:rsidR="00000000" w:rsidRPr="006E621E" w:rsidP="006E621E">
            <w:pPr>
              <w:pStyle w:val="BodyText"/>
            </w:pPr>
            <w:r w:rsidRPr="006E621E">
              <w:t>Assessment processes and techniques must be appropriate to the language, l</w:t>
            </w:r>
            <w:r w:rsidRPr="006E621E">
              <w:t>iteracy and numeracy requirements of the work being performed and the needs of the candidate.</w:t>
            </w:r>
          </w:p>
          <w:p w:rsidR="00000000" w:rsidRPr="006E621E" w:rsidP="006E621E">
            <w:pPr>
              <w:pStyle w:val="BodyText"/>
            </w:pPr>
            <w:r w:rsidRPr="006E621E">
              <w:t>Assessment of this unit may be undertaken within a licensing examination conducted, by or under the authority of, the relevant state/territory road and traffic au</w:t>
            </w:r>
            <w:r w:rsidRPr="006E621E">
              <w:t>thority.</w:t>
            </w:r>
          </w:p>
          <w:p w:rsidR="00000000" w:rsidRPr="006E621E" w:rsidP="006E621E">
            <w:pPr>
              <w:pStyle w:val="BodyText"/>
            </w:pPr>
            <w:r w:rsidRPr="006E621E">
              <w:t>Resources for assessment must include:</w:t>
            </w:r>
          </w:p>
          <w:p w:rsidR="00000000" w:rsidRPr="006E621E" w:rsidP="006E621E">
            <w:pPr>
              <w:pStyle w:val="ListBullet"/>
            </w:pPr>
            <w:r w:rsidRPr="006E621E">
              <w:t>a range of relevant exercises, case studies and/or simulations</w:t>
            </w:r>
          </w:p>
          <w:p w:rsidR="00000000" w:rsidRPr="006E621E" w:rsidP="006E621E">
            <w:pPr>
              <w:pStyle w:val="ListBullet"/>
            </w:pPr>
            <w:r w:rsidRPr="006E621E">
              <w:t xml:space="preserve">relevant materials, tools, equipment and personal protective equipment (PPE) currently used in industry </w:t>
            </w:r>
          </w:p>
          <w:p w:rsidR="00000000" w:rsidRPr="006E621E" w:rsidP="006E621E">
            <w:pPr>
              <w:pStyle w:val="ListBullet"/>
            </w:pPr>
            <w:r w:rsidRPr="006E621E">
              <w:t>applicable documentation including work</w:t>
            </w:r>
            <w:r w:rsidRPr="006E621E">
              <w:t>place procedures, regulations, codes of practice and operation manuals.</w:t>
            </w:r>
          </w:p>
        </w:tc>
      </w:tr>
    </w:tbl>
    <w:p w:rsidR="00000000" w:rsidRPr="006E621E" w:rsidP="006E621E">
      <w:pPr>
        <w:pStyle w:val="NoPaddingFontSize1"/>
      </w:pPr>
    </w:p>
    <w:p w:rsidR="00000000" w:rsidRPr="006E621E" w:rsidP="006E621E">
      <w:pPr>
        <w:pStyle w:val="AllowPageBreak"/>
      </w:pPr>
    </w:p>
    <w:p w:rsidR="00000000" w:rsidRPr="006E621E" w:rsidP="006E621E">
      <w:pPr>
        <w:pStyle w:val="Heading1"/>
      </w:pPr>
      <w:bookmarkStart w:id="15" w:name="O_1066731"/>
      <w:bookmarkEnd w:id="15"/>
      <w:r w:rsidRPr="006E621E">
        <w:t>Links</w:t>
      </w:r>
    </w:p>
    <w:p w:rsidR="00000000" w:rsidRPr="006E621E" w:rsidP="007C7AF7">
      <w:pPr>
        <w:pStyle w:val="BodyText"/>
      </w:pPr>
      <w:r w:rsidRPr="006E621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3024E">
        <w:rPr>
          <w:rStyle w:val="Hyperlink"/>
        </w:rPr>
        <w:t>https://vetnet.gov.au/Pages/TrainingDocs.aspx?q=df441c6e-213d-43e3-874c-0b3f7036d851</w:t>
      </w:r>
      <w:r>
        <w:fldChar w:fldCharType="end"/>
      </w:r>
    </w:p>
    <w:p w:rsidR="00000000" w:rsidRPr="006E621E" w:rsidP="006E621E"/>
    <w:sectPr w:rsidSect="006E62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2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21E" w:rsidRPr="007C7AF7" w:rsidP="007C7A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2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AF7" w:rsidP="006E62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7AF7" w:rsidP="006E62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C7AF7" w:rsidP="006E62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21E" w:rsidP="006E621E">
    <w:pPr>
      <w:pStyle w:val="Footer"/>
      <w:framePr w:wrap="around"/>
    </w:pPr>
    <w:r>
      <w:fldChar w:fldCharType="begin"/>
    </w:r>
    <w:r>
      <w:instrText xml:space="preserve"> DOCPROPERTY  Subject  \* MERGEFORMAT </w:instrText>
    </w:r>
    <w:r>
      <w:fldChar w:fldCharType="separate"/>
    </w:r>
    <w:r w:rsidR="007C7AF7">
      <w:t>Approved</w:t>
    </w:r>
    <w:r w:rsidR="007C7AF7">
      <w:fldChar w:fldCharType="end"/>
    </w:r>
    <w:r>
      <w:tab/>
      <w:t xml:space="preserve">Page </w:t>
    </w:r>
    <w:r>
      <w:fldChar w:fldCharType="begin"/>
    </w:r>
    <w:r>
      <w:instrText xml:space="preserve"> PAGE  \* Arabic  \* MERGEFORMAT </w:instrText>
    </w:r>
    <w:r>
      <w:fldChar w:fldCharType="separate"/>
    </w:r>
    <w:r w:rsidR="007C7AF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7AF7">
      <w:rPr>
        <w:noProof/>
      </w:rPr>
      <w:t>5</w:t>
    </w:r>
    <w:r>
      <w:rPr>
        <w:noProof/>
      </w:rPr>
      <w:fldChar w:fldCharType="end"/>
    </w:r>
  </w:p>
  <w:p w:rsidR="006E621E" w:rsidP="006E621E">
    <w:pPr>
      <w:pStyle w:val="Footer"/>
      <w:framePr w:wrap="around"/>
    </w:pPr>
    <w:r>
      <w:t xml:space="preserve">© Commonwealth of Australia, </w:t>
    </w:r>
    <w:r>
      <w:fldChar w:fldCharType="begin"/>
    </w:r>
    <w:r>
      <w:instrText xml:space="preserve"> DATE  \@ "yyyy"  \* MERGEFORMAT </w:instrText>
    </w:r>
    <w:r>
      <w:fldChar w:fldCharType="separate"/>
    </w:r>
    <w:r w:rsidR="007C7AF7">
      <w:rPr>
        <w:noProof/>
      </w:rPr>
      <w:t>2025</w:t>
    </w:r>
    <w:r>
      <w:fldChar w:fldCharType="end"/>
    </w:r>
    <w:r>
      <w:tab/>
    </w:r>
    <w:r>
      <w:fldChar w:fldCharType="begin"/>
    </w:r>
    <w:r>
      <w:instrText xml:space="preserve"> DOCPROPERTY  Author  \* MERGEFORMAT </w:instrText>
    </w:r>
    <w:r>
      <w:fldChar w:fldCharType="separate"/>
    </w:r>
    <w:r w:rsidR="007C7AF7">
      <w:t>Industry Skills Australia</w:t>
    </w:r>
    <w:r w:rsidR="007C7AF7">
      <w:fldChar w:fldCharType="end"/>
    </w:r>
  </w:p>
  <w:p w:rsidR="006E621E" w:rsidP="006E62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2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A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621E" w:rsidRPr="007C7AF7" w:rsidP="007C7A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2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AF7" w:rsidRPr="002D2AF8" w:rsidP="006E621E">
    <w:pPr>
      <w:pStyle w:val="Header"/>
      <w:framePr w:wrap="around"/>
    </w:pPr>
    <w:r>
      <w:fldChar w:fldCharType="begin"/>
    </w:r>
    <w:r>
      <w:instrText xml:space="preserve"> TITLE   \* MERGEFORMAT </w:instrText>
    </w:r>
    <w:r>
      <w:fldChar w:fldCharType="separate"/>
    </w:r>
    <w:r>
      <w:t>TLIC3005 Drive heavy combination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7AF7" w:rsidP="006E62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21E" w:rsidRPr="002D2AF8" w:rsidP="006E621E">
    <w:pPr>
      <w:pStyle w:val="Header"/>
      <w:framePr w:wrap="around"/>
    </w:pPr>
    <w:r>
      <w:fldChar w:fldCharType="begin"/>
    </w:r>
    <w:r>
      <w:instrText xml:space="preserve"> TITLE   \* MERGEFORMAT </w:instrText>
    </w:r>
    <w:r>
      <w:fldChar w:fldCharType="separate"/>
    </w:r>
    <w:r w:rsidR="007C7AF7">
      <w:t>TLIC3005 Drive heavy combination vehicle</w:t>
    </w:r>
    <w:r w:rsidR="007C7AF7">
      <w:fldChar w:fldCharType="end"/>
    </w:r>
    <w:r>
      <w:tab/>
      <w:t xml:space="preserve">Date this document was generated: </w:t>
    </w:r>
    <w:r>
      <w:fldChar w:fldCharType="begin"/>
    </w:r>
    <w:r>
      <w:instrText xml:space="preserve"> CREATEDATE  \@ "d MMMM yyyy"  \* MERGEFORMAT </w:instrText>
    </w:r>
    <w:r>
      <w:fldChar w:fldCharType="separate"/>
    </w:r>
    <w:r w:rsidR="007C7AF7">
      <w:rPr>
        <w:noProof/>
      </w:rPr>
      <w:t>2 March 2025</w:t>
    </w:r>
    <w:r>
      <w:fldChar w:fldCharType="end"/>
    </w:r>
  </w:p>
  <w:p w:rsidR="006E621E" w:rsidP="006E62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7AA0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3CDE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2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621E"/>
    <w:pPr>
      <w:spacing w:before="360" w:after="60"/>
      <w:outlineLvl w:val="0"/>
    </w:pPr>
    <w:rPr>
      <w:sz w:val="32"/>
    </w:rPr>
  </w:style>
  <w:style w:type="paragraph" w:styleId="Heading2">
    <w:name w:val="heading 2"/>
    <w:basedOn w:val="HeadingBase"/>
    <w:next w:val="BodyText"/>
    <w:link w:val="Heading2Char"/>
    <w:qFormat/>
    <w:rsid w:val="006E621E"/>
    <w:pPr>
      <w:keepLines/>
      <w:spacing w:before="240" w:after="120"/>
      <w:outlineLvl w:val="1"/>
    </w:pPr>
    <w:rPr>
      <w:sz w:val="28"/>
      <w:szCs w:val="40"/>
    </w:rPr>
  </w:style>
  <w:style w:type="paragraph" w:styleId="Heading3">
    <w:name w:val="heading 3"/>
    <w:basedOn w:val="HeadingBase"/>
    <w:next w:val="BodyText"/>
    <w:link w:val="Heading3Char"/>
    <w:qFormat/>
    <w:rsid w:val="006E621E"/>
    <w:pPr>
      <w:spacing w:before="180" w:after="120"/>
      <w:outlineLvl w:val="2"/>
    </w:pPr>
    <w:rPr>
      <w:spacing w:val="-10"/>
      <w:kern w:val="32"/>
    </w:rPr>
  </w:style>
  <w:style w:type="paragraph" w:styleId="Heading4">
    <w:name w:val="heading 4"/>
    <w:basedOn w:val="HeadingBase"/>
    <w:next w:val="BodyText"/>
    <w:link w:val="Heading4Char"/>
    <w:qFormat/>
    <w:rsid w:val="006E621E"/>
    <w:pPr>
      <w:spacing w:before="160" w:after="120"/>
      <w:outlineLvl w:val="3"/>
    </w:pPr>
    <w:rPr>
      <w:sz w:val="22"/>
    </w:rPr>
  </w:style>
  <w:style w:type="paragraph" w:styleId="Heading5">
    <w:name w:val="heading 5"/>
    <w:basedOn w:val="HeadingBase"/>
    <w:next w:val="Normal"/>
    <w:link w:val="Heading5Char"/>
    <w:qFormat/>
    <w:rsid w:val="006E621E"/>
    <w:pPr>
      <w:spacing w:before="80"/>
      <w:outlineLvl w:val="4"/>
    </w:pPr>
    <w:rPr>
      <w:color w:val="918585"/>
      <w:sz w:val="20"/>
    </w:rPr>
  </w:style>
  <w:style w:type="paragraph" w:styleId="Heading6">
    <w:name w:val="heading 6"/>
    <w:basedOn w:val="HeadingBase"/>
    <w:next w:val="Normal"/>
    <w:link w:val="Heading6Char"/>
    <w:qFormat/>
    <w:rsid w:val="006E621E"/>
    <w:pPr>
      <w:spacing w:before="60"/>
      <w:outlineLvl w:val="5"/>
    </w:pPr>
    <w:rPr>
      <w:color w:val="918585"/>
      <w:sz w:val="20"/>
    </w:rPr>
  </w:style>
  <w:style w:type="paragraph" w:styleId="Heading7">
    <w:name w:val="heading 7"/>
    <w:basedOn w:val="Normal"/>
    <w:next w:val="Normal"/>
    <w:link w:val="Heading7Char"/>
    <w:qFormat/>
    <w:rsid w:val="006E621E"/>
    <w:pPr>
      <w:ind w:left="720"/>
      <w:outlineLvl w:val="6"/>
    </w:pPr>
    <w:rPr>
      <w:i/>
    </w:rPr>
  </w:style>
  <w:style w:type="paragraph" w:styleId="Heading8">
    <w:name w:val="heading 8"/>
    <w:basedOn w:val="Normal"/>
    <w:next w:val="Normal"/>
    <w:link w:val="Heading8Char"/>
    <w:qFormat/>
    <w:rsid w:val="006E621E"/>
    <w:pPr>
      <w:ind w:left="720"/>
      <w:outlineLvl w:val="7"/>
    </w:pPr>
    <w:rPr>
      <w:i/>
    </w:rPr>
  </w:style>
  <w:style w:type="paragraph" w:styleId="Heading9">
    <w:name w:val="heading 9"/>
    <w:basedOn w:val="Normal"/>
    <w:next w:val="Normal"/>
    <w:link w:val="Heading9Char"/>
    <w:qFormat/>
    <w:rsid w:val="006E621E"/>
    <w:pPr>
      <w:ind w:left="720"/>
      <w:outlineLvl w:val="8"/>
    </w:pPr>
    <w:rPr>
      <w:i/>
    </w:rPr>
  </w:style>
  <w:style w:type="character" w:default="1" w:styleId="DefaultParagraphFont">
    <w:name w:val="Default Paragraph Font"/>
    <w:uiPriority w:val="1"/>
    <w:unhideWhenUsed/>
    <w:rsid w:val="006E62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21E"/>
  </w:style>
  <w:style w:type="character" w:customStyle="1" w:styleId="Heading1Char">
    <w:name w:val="Heading 1 Char"/>
    <w:basedOn w:val="DefaultParagraphFont"/>
    <w:link w:val="Heading1"/>
    <w:rsid w:val="006E621E"/>
    <w:rPr>
      <w:rFonts w:ascii="Times New Roman" w:eastAsia="Times New Roman" w:hAnsi="Times New Roman" w:cs="Times New Roman"/>
      <w:b/>
      <w:sz w:val="32"/>
      <w:szCs w:val="20"/>
      <w:lang w:eastAsia="en-US"/>
    </w:rPr>
  </w:style>
  <w:style w:type="paragraph" w:styleId="BodyText">
    <w:name w:val="Body Text"/>
    <w:basedOn w:val="Normal"/>
    <w:link w:val="BodyTextChar"/>
    <w:rsid w:val="006E62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621E"/>
    <w:rPr>
      <w:rFonts w:ascii="Times New Roman" w:eastAsia="Times New Roman" w:hAnsi="Times New Roman" w:cs="Times New Roman"/>
      <w:sz w:val="24"/>
      <w:lang w:eastAsia="en-US"/>
    </w:rPr>
  </w:style>
  <w:style w:type="paragraph" w:styleId="ListBullet">
    <w:name w:val="List Bullet"/>
    <w:basedOn w:val="List"/>
    <w:rsid w:val="006E621E"/>
    <w:pPr>
      <w:numPr>
        <w:numId w:val="11"/>
      </w:numPr>
      <w:tabs>
        <w:tab w:val="clear" w:pos="340"/>
      </w:tabs>
      <w:spacing w:before="40" w:after="40"/>
    </w:pPr>
  </w:style>
  <w:style w:type="character" w:customStyle="1" w:styleId="SpecialBold">
    <w:name w:val="Special Bold"/>
    <w:basedOn w:val="DefaultParagraphFont"/>
    <w:rsid w:val="006E621E"/>
    <w:rPr>
      <w:b/>
      <w:spacing w:val="0"/>
    </w:rPr>
  </w:style>
  <w:style w:type="paragraph" w:customStyle="1" w:styleId="SuperHeading">
    <w:name w:val="SuperHeading"/>
    <w:basedOn w:val="Normal"/>
    <w:rsid w:val="006E621E"/>
    <w:pPr>
      <w:spacing w:before="240" w:after="120"/>
      <w:outlineLvl w:val="0"/>
    </w:pPr>
    <w:rPr>
      <w:rFonts w:ascii="Times New Roman" w:hAnsi="Times New Roman"/>
      <w:b/>
      <w:sz w:val="32"/>
    </w:rPr>
  </w:style>
  <w:style w:type="paragraph" w:customStyle="1" w:styleId="AllowPageBreak">
    <w:name w:val="AllowPageBreak"/>
    <w:rsid w:val="006E62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E62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62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62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62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62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2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62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621E"/>
    <w:rPr>
      <w:rFonts w:ascii="Courier New" w:eastAsia="Times New Roman" w:hAnsi="Courier New" w:cs="Times New Roman"/>
      <w:i/>
      <w:szCs w:val="20"/>
      <w:lang w:eastAsia="en-US"/>
    </w:rPr>
  </w:style>
  <w:style w:type="paragraph" w:customStyle="1" w:styleId="HeadingBase">
    <w:name w:val="Heading Base"/>
    <w:rsid w:val="006E62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21E"/>
    <w:pPr>
      <w:tabs>
        <w:tab w:val="right" w:leader="dot" w:pos="9072"/>
      </w:tabs>
      <w:ind w:left="567"/>
    </w:pPr>
    <w:rPr>
      <w:szCs w:val="22"/>
    </w:rPr>
  </w:style>
  <w:style w:type="paragraph" w:customStyle="1" w:styleId="TOCBase">
    <w:name w:val="TOC Base"/>
    <w:rsid w:val="006E62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21E"/>
    <w:pPr>
      <w:tabs>
        <w:tab w:val="right" w:leader="dot" w:pos="9072"/>
      </w:tabs>
      <w:spacing w:before="40" w:after="40"/>
      <w:ind w:left="284"/>
    </w:pPr>
    <w:rPr>
      <w:rFonts w:ascii="Times New Roman" w:hAnsi="Times New Roman"/>
    </w:rPr>
  </w:style>
  <w:style w:type="paragraph" w:styleId="TOC1">
    <w:name w:val="toc 1"/>
    <w:basedOn w:val="TOCBase"/>
    <w:next w:val="Normal"/>
    <w:rsid w:val="006E62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62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621E"/>
    <w:rPr>
      <w:rFonts w:ascii="Times New Roman" w:eastAsia="Times New Roman" w:hAnsi="Times New Roman" w:cs="Times New Roman"/>
      <w:sz w:val="16"/>
      <w:lang w:eastAsia="en-US"/>
    </w:rPr>
  </w:style>
  <w:style w:type="paragraph" w:styleId="Title">
    <w:name w:val="Title"/>
    <w:basedOn w:val="HeadingBase"/>
    <w:link w:val="TitleChar"/>
    <w:qFormat/>
    <w:rsid w:val="006E621E"/>
    <w:pPr>
      <w:spacing w:before="5040"/>
      <w:jc w:val="center"/>
    </w:pPr>
    <w:rPr>
      <w:sz w:val="48"/>
      <w:szCs w:val="72"/>
      <w:lang w:val="en-US"/>
    </w:rPr>
  </w:style>
  <w:style w:type="character" w:customStyle="1" w:styleId="TitleChar">
    <w:name w:val="Title Char"/>
    <w:basedOn w:val="DefaultParagraphFont"/>
    <w:link w:val="Title"/>
    <w:rsid w:val="006E62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21E"/>
    <w:pPr>
      <w:tabs>
        <w:tab w:val="left" w:pos="3600"/>
        <w:tab w:val="left" w:pos="3958"/>
      </w:tabs>
    </w:pPr>
  </w:style>
  <w:style w:type="paragraph" w:styleId="List">
    <w:name w:val="List"/>
    <w:basedOn w:val="BodyText"/>
    <w:next w:val="BodyText"/>
    <w:rsid w:val="006E621E"/>
    <w:pPr>
      <w:tabs>
        <w:tab w:val="left" w:pos="340"/>
      </w:tabs>
      <w:spacing w:before="60" w:after="60"/>
      <w:ind w:left="340" w:hanging="340"/>
    </w:pPr>
  </w:style>
  <w:style w:type="paragraph" w:customStyle="1" w:styleId="Note">
    <w:name w:val="Note"/>
    <w:basedOn w:val="BodyText"/>
    <w:rsid w:val="006E62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621E"/>
    <w:pPr>
      <w:framePr w:wrap="auto" w:hAnchor="text" w:y="6049"/>
    </w:pPr>
    <w:rPr>
      <w:color w:val="000000"/>
      <w:sz w:val="40"/>
    </w:rPr>
  </w:style>
  <w:style w:type="paragraph" w:customStyle="1" w:styleId="TOCTitle">
    <w:name w:val="TOCTitle"/>
    <w:basedOn w:val="Heading1"/>
    <w:rsid w:val="006E621E"/>
    <w:pPr>
      <w:spacing w:after="240"/>
      <w:jc w:val="center"/>
      <w:outlineLvl w:val="9"/>
    </w:pPr>
    <w:rPr>
      <w:caps/>
    </w:rPr>
  </w:style>
  <w:style w:type="paragraph" w:customStyle="1" w:styleId="Version">
    <w:name w:val="Version"/>
    <w:rsid w:val="006E62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621E"/>
    <w:pPr>
      <w:numPr>
        <w:numId w:val="12"/>
      </w:numPr>
      <w:tabs>
        <w:tab w:val="clear" w:pos="680"/>
      </w:tabs>
    </w:pPr>
  </w:style>
  <w:style w:type="paragraph" w:styleId="Index1">
    <w:name w:val="index 1"/>
    <w:basedOn w:val="Normal"/>
    <w:next w:val="Normal"/>
    <w:semiHidden/>
    <w:rsid w:val="006E621E"/>
    <w:pPr>
      <w:keepNext w:val="0"/>
      <w:tabs>
        <w:tab w:val="right" w:pos="4176"/>
      </w:tabs>
      <w:ind w:left="198" w:hanging="198"/>
    </w:pPr>
    <w:rPr>
      <w:rFonts w:ascii="Garamond" w:hAnsi="Garamond"/>
    </w:rPr>
  </w:style>
  <w:style w:type="paragraph" w:styleId="IndexHeading">
    <w:name w:val="index heading"/>
    <w:basedOn w:val="Normal"/>
    <w:next w:val="Index1"/>
    <w:semiHidden/>
    <w:rsid w:val="006E621E"/>
    <w:pPr>
      <w:spacing w:before="120" w:after="120"/>
    </w:pPr>
    <w:rPr>
      <w:rFonts w:ascii="Arial" w:hAnsi="Arial"/>
      <w:b/>
      <w:color w:val="918585"/>
      <w:sz w:val="24"/>
    </w:rPr>
  </w:style>
  <w:style w:type="paragraph" w:styleId="Header">
    <w:name w:val="header"/>
    <w:basedOn w:val="Normal"/>
    <w:link w:val="HeaderChar"/>
    <w:rsid w:val="006E62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621E"/>
    <w:rPr>
      <w:rFonts w:ascii="Times New Roman" w:eastAsia="Times New Roman" w:hAnsi="Times New Roman" w:cs="Times New Roman"/>
      <w:sz w:val="16"/>
      <w:szCs w:val="20"/>
      <w:lang w:val="en-GB" w:eastAsia="en-US"/>
    </w:rPr>
  </w:style>
  <w:style w:type="paragraph" w:customStyle="1" w:styleId="Chapter">
    <w:name w:val="Chapter"/>
    <w:basedOn w:val="Normal"/>
    <w:rsid w:val="006E621E"/>
    <w:pPr>
      <w:spacing w:before="240"/>
    </w:pPr>
    <w:rPr>
      <w:rFonts w:ascii="Times New Roman" w:hAnsi="Times New Roman"/>
      <w:smallCaps/>
      <w:spacing w:val="80"/>
      <w:sz w:val="28"/>
    </w:rPr>
  </w:style>
  <w:style w:type="paragraph" w:customStyle="1" w:styleId="InChapter">
    <w:name w:val="InChapter"/>
    <w:basedOn w:val="Heading3"/>
    <w:rsid w:val="006E621E"/>
    <w:pPr>
      <w:spacing w:after="240"/>
      <w:outlineLvl w:val="9"/>
    </w:pPr>
    <w:rPr>
      <w:noProof/>
    </w:rPr>
  </w:style>
  <w:style w:type="paragraph" w:styleId="Index2">
    <w:name w:val="index 2"/>
    <w:basedOn w:val="Normal"/>
    <w:next w:val="Normal"/>
    <w:semiHidden/>
    <w:rsid w:val="006E621E"/>
    <w:pPr>
      <w:tabs>
        <w:tab w:val="right" w:pos="4176"/>
      </w:tabs>
      <w:ind w:left="568" w:hanging="284"/>
    </w:pPr>
    <w:rPr>
      <w:rFonts w:ascii="Garamond" w:hAnsi="Garamond"/>
    </w:rPr>
  </w:style>
  <w:style w:type="paragraph" w:customStyle="1" w:styleId="Byline">
    <w:name w:val="Byline"/>
    <w:rsid w:val="006E62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21E"/>
    <w:pPr>
      <w:tabs>
        <w:tab w:val="clear" w:pos="3600"/>
        <w:tab w:val="clear" w:pos="3958"/>
      </w:tabs>
      <w:jc w:val="right"/>
    </w:pPr>
  </w:style>
  <w:style w:type="character" w:styleId="Emphasis">
    <w:name w:val="Emphasis"/>
    <w:basedOn w:val="DefaultParagraphFont"/>
    <w:qFormat/>
    <w:rsid w:val="006E621E"/>
    <w:rPr>
      <w:i/>
    </w:rPr>
  </w:style>
  <w:style w:type="paragraph" w:styleId="Caption">
    <w:name w:val="caption"/>
    <w:basedOn w:val="BodyText"/>
    <w:next w:val="Normal"/>
    <w:qFormat/>
    <w:rsid w:val="006E621E"/>
    <w:pPr>
      <w:framePr w:w="2268" w:hSpace="181" w:vSpace="181" w:wrap="around" w:vAnchor="text" w:hAnchor="page" w:x="1135" w:y="285" w:anchorLock="1"/>
    </w:pPr>
    <w:rPr>
      <w:i/>
    </w:rPr>
  </w:style>
  <w:style w:type="paragraph" w:customStyle="1" w:styleId="MiniTOCTitle">
    <w:name w:val="MiniTOCTitle"/>
    <w:basedOn w:val="Heading4"/>
    <w:rsid w:val="006E621E"/>
    <w:pPr>
      <w:spacing w:before="240"/>
      <w:outlineLvl w:val="9"/>
    </w:pPr>
    <w:rPr>
      <w:noProof/>
      <w:sz w:val="24"/>
    </w:rPr>
  </w:style>
  <w:style w:type="paragraph" w:customStyle="1" w:styleId="MiniTOCItem">
    <w:name w:val="MiniTOCItem"/>
    <w:basedOn w:val="ListBullet"/>
    <w:rsid w:val="006E621E"/>
    <w:pPr>
      <w:numPr>
        <w:numId w:val="0"/>
      </w:numPr>
      <w:tabs>
        <w:tab w:val="right" w:leader="dot" w:pos="6521"/>
      </w:tabs>
      <w:spacing w:before="0" w:after="0"/>
    </w:pPr>
  </w:style>
  <w:style w:type="paragraph" w:customStyle="1" w:styleId="TOFTitle">
    <w:name w:val="TOFTitle"/>
    <w:basedOn w:val="TOCTitle"/>
    <w:rsid w:val="006E621E"/>
  </w:style>
  <w:style w:type="paragraph" w:styleId="TableofFigures">
    <w:name w:val="table of figures"/>
    <w:basedOn w:val="Normal"/>
    <w:next w:val="Normal"/>
    <w:semiHidden/>
    <w:rsid w:val="006E621E"/>
    <w:pPr>
      <w:tabs>
        <w:tab w:val="right" w:leader="dot" w:pos="9072"/>
      </w:tabs>
      <w:ind w:left="970" w:hanging="403"/>
    </w:pPr>
    <w:rPr>
      <w:rFonts w:ascii="Times New Roman" w:hAnsi="Times New Roman"/>
      <w:b/>
    </w:rPr>
  </w:style>
  <w:style w:type="paragraph" w:styleId="ListNumber">
    <w:name w:val="List Number"/>
    <w:basedOn w:val="List"/>
    <w:rsid w:val="006E621E"/>
    <w:pPr>
      <w:numPr>
        <w:numId w:val="14"/>
      </w:numPr>
      <w:tabs>
        <w:tab w:val="clear" w:pos="340"/>
      </w:tabs>
    </w:pPr>
  </w:style>
  <w:style w:type="character" w:customStyle="1" w:styleId="WingdingSymbols">
    <w:name w:val="Wingding Symbols"/>
    <w:rsid w:val="006E621E"/>
    <w:rPr>
      <w:rFonts w:ascii="Wingdings" w:hAnsi="Wingdings"/>
    </w:rPr>
  </w:style>
  <w:style w:type="paragraph" w:customStyle="1" w:styleId="TableHeading">
    <w:name w:val="Table Heading"/>
    <w:basedOn w:val="HeadingBase"/>
    <w:rsid w:val="006E621E"/>
    <w:pPr>
      <w:keepLines/>
      <w:pBdr>
        <w:bottom w:val="single" w:sz="6" w:space="1" w:color="918585"/>
      </w:pBdr>
      <w:spacing w:before="240"/>
    </w:pPr>
  </w:style>
  <w:style w:type="character" w:customStyle="1" w:styleId="HotSpot">
    <w:name w:val="HotSpot"/>
    <w:rsid w:val="006E621E"/>
    <w:rPr>
      <w:color w:val="0033CC"/>
      <w:u w:val="none"/>
    </w:rPr>
  </w:style>
  <w:style w:type="paragraph" w:customStyle="1" w:styleId="BodyTextRight">
    <w:name w:val="Body Text Right"/>
    <w:basedOn w:val="BodyText"/>
    <w:rsid w:val="006E621E"/>
    <w:pPr>
      <w:spacing w:before="0" w:after="0"/>
      <w:jc w:val="right"/>
    </w:pPr>
  </w:style>
  <w:style w:type="paragraph" w:styleId="Index3">
    <w:name w:val="index 3"/>
    <w:basedOn w:val="ListNumber2"/>
    <w:next w:val="Normal"/>
    <w:semiHidden/>
    <w:rsid w:val="006E621E"/>
    <w:pPr>
      <w:numPr>
        <w:numId w:val="0"/>
      </w:numPr>
      <w:tabs>
        <w:tab w:val="right" w:leader="dot" w:pos="4176"/>
      </w:tabs>
    </w:pPr>
  </w:style>
  <w:style w:type="paragraph" w:styleId="ListNumber2">
    <w:name w:val="List Number 2"/>
    <w:basedOn w:val="List2"/>
    <w:rsid w:val="006E621E"/>
    <w:pPr>
      <w:numPr>
        <w:numId w:val="9"/>
      </w:numPr>
      <w:tabs>
        <w:tab w:val="clear" w:pos="1060"/>
      </w:tabs>
    </w:pPr>
  </w:style>
  <w:style w:type="paragraph" w:customStyle="1" w:styleId="MarginNote">
    <w:name w:val="Margin Note"/>
    <w:basedOn w:val="BodyText"/>
    <w:rsid w:val="006E62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2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62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621E"/>
    <w:rPr>
      <w:sz w:val="32"/>
    </w:rPr>
  </w:style>
  <w:style w:type="paragraph" w:customStyle="1" w:styleId="HeadingProcedure">
    <w:name w:val="Heading Procedure"/>
    <w:basedOn w:val="HeadingBase"/>
    <w:next w:val="Normal"/>
    <w:rsid w:val="006E621E"/>
    <w:pPr>
      <w:tabs>
        <w:tab w:val="left" w:pos="0"/>
      </w:tabs>
      <w:spacing w:before="120" w:after="60"/>
    </w:pPr>
    <w:rPr>
      <w:i/>
      <w:color w:val="918585"/>
      <w:sz w:val="22"/>
    </w:rPr>
  </w:style>
  <w:style w:type="paragraph" w:customStyle="1" w:styleId="TableBodyText">
    <w:name w:val="Table Body Text"/>
    <w:basedOn w:val="BodyText"/>
    <w:rsid w:val="006E621E"/>
    <w:pPr>
      <w:spacing w:before="60" w:after="60"/>
    </w:pPr>
  </w:style>
  <w:style w:type="paragraph" w:styleId="ListContinue">
    <w:name w:val="List Continue"/>
    <w:basedOn w:val="List"/>
    <w:rsid w:val="006E621E"/>
    <w:pPr>
      <w:ind w:firstLine="0"/>
    </w:pPr>
  </w:style>
  <w:style w:type="paragraph" w:customStyle="1" w:styleId="ListNote">
    <w:name w:val="List Note"/>
    <w:basedOn w:val="List"/>
    <w:rsid w:val="006E621E"/>
    <w:pPr>
      <w:pBdr>
        <w:top w:val="single" w:sz="6" w:space="2" w:color="918585"/>
        <w:bottom w:val="single" w:sz="6" w:space="2" w:color="918585"/>
      </w:pBdr>
      <w:tabs>
        <w:tab w:val="left" w:pos="1021"/>
      </w:tabs>
      <w:ind w:firstLine="0"/>
    </w:pPr>
  </w:style>
  <w:style w:type="paragraph" w:customStyle="1" w:styleId="Warning">
    <w:name w:val="Warning"/>
    <w:basedOn w:val="BodyText"/>
    <w:rsid w:val="006E621E"/>
    <w:pPr>
      <w:shd w:val="clear" w:color="auto" w:fill="D9D9D9"/>
      <w:tabs>
        <w:tab w:val="left" w:pos="992"/>
      </w:tabs>
      <w:ind w:left="119" w:right="119"/>
    </w:pPr>
    <w:rPr>
      <w:sz w:val="20"/>
    </w:rPr>
  </w:style>
  <w:style w:type="paragraph" w:customStyle="1" w:styleId="MarginIcons">
    <w:name w:val="Margin Icons"/>
    <w:basedOn w:val="BodyText"/>
    <w:rsid w:val="006E62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621E"/>
    <w:rPr>
      <w:rFonts w:ascii="Courier New" w:hAnsi="Courier New"/>
    </w:rPr>
  </w:style>
  <w:style w:type="paragraph" w:customStyle="1" w:styleId="NoteBullet">
    <w:name w:val="Note Bullet"/>
    <w:basedOn w:val="Note"/>
    <w:rsid w:val="006E621E"/>
    <w:pPr>
      <w:tabs>
        <w:tab w:val="clear" w:pos="680"/>
      </w:tabs>
      <w:spacing w:before="60" w:after="60"/>
    </w:pPr>
  </w:style>
  <w:style w:type="paragraph" w:customStyle="1" w:styleId="SubHeading2">
    <w:name w:val="SubHeading2"/>
    <w:basedOn w:val="HeadingBase"/>
    <w:rsid w:val="006E621E"/>
    <w:pPr>
      <w:spacing w:before="240" w:after="60"/>
    </w:pPr>
    <w:rPr>
      <w:sz w:val="20"/>
    </w:rPr>
  </w:style>
  <w:style w:type="paragraph" w:customStyle="1" w:styleId="SubHeading1">
    <w:name w:val="SubHeading1"/>
    <w:basedOn w:val="HeadingBase"/>
    <w:rsid w:val="006E621E"/>
    <w:pPr>
      <w:spacing w:before="240" w:after="60"/>
    </w:pPr>
    <w:rPr>
      <w:color w:val="918585"/>
      <w:sz w:val="22"/>
    </w:rPr>
  </w:style>
  <w:style w:type="paragraph" w:customStyle="1" w:styleId="SideHeading">
    <w:name w:val="Side Heading"/>
    <w:basedOn w:val="HeadingBase"/>
    <w:rsid w:val="006E62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21E"/>
    <w:pPr>
      <w:numPr>
        <w:numId w:val="10"/>
      </w:numPr>
    </w:pPr>
  </w:style>
  <w:style w:type="paragraph" w:styleId="PlainText">
    <w:name w:val="Plain Text"/>
    <w:basedOn w:val="Normal"/>
    <w:link w:val="PlainTextChar"/>
    <w:rsid w:val="006E621E"/>
    <w:rPr>
      <w:sz w:val="20"/>
    </w:rPr>
  </w:style>
  <w:style w:type="character" w:customStyle="1" w:styleId="PlainTextChar">
    <w:name w:val="Plain Text Char"/>
    <w:basedOn w:val="DefaultParagraphFont"/>
    <w:link w:val="PlainText"/>
    <w:rsid w:val="006E621E"/>
    <w:rPr>
      <w:rFonts w:ascii="Courier New" w:eastAsia="Times New Roman" w:hAnsi="Courier New" w:cs="Times New Roman"/>
      <w:sz w:val="20"/>
      <w:szCs w:val="20"/>
      <w:lang w:eastAsia="en-US"/>
    </w:rPr>
  </w:style>
  <w:style w:type="character" w:customStyle="1" w:styleId="MenuOption">
    <w:name w:val="Menu Option"/>
    <w:basedOn w:val="DefaultParagraphFont"/>
    <w:rsid w:val="006E621E"/>
    <w:rPr>
      <w:b/>
      <w:smallCaps/>
    </w:rPr>
  </w:style>
  <w:style w:type="paragraph" w:customStyle="1" w:styleId="TableListNumber">
    <w:name w:val="Table List Number"/>
    <w:basedOn w:val="ListNumber"/>
    <w:rsid w:val="006E621E"/>
    <w:pPr>
      <w:numPr>
        <w:numId w:val="0"/>
      </w:numPr>
    </w:pPr>
  </w:style>
  <w:style w:type="paragraph" w:styleId="TOC4">
    <w:name w:val="toc 4"/>
    <w:basedOn w:val="TOCBase"/>
    <w:next w:val="Normal"/>
    <w:semiHidden/>
    <w:rsid w:val="006E621E"/>
    <w:pPr>
      <w:tabs>
        <w:tab w:val="right" w:leader="dot" w:pos="9071"/>
      </w:tabs>
      <w:ind w:left="1701"/>
    </w:pPr>
  </w:style>
  <w:style w:type="paragraph" w:customStyle="1" w:styleId="ListAlpha">
    <w:name w:val="List Alpha"/>
    <w:basedOn w:val="List"/>
    <w:rsid w:val="006E621E"/>
    <w:pPr>
      <w:numPr>
        <w:numId w:val="8"/>
      </w:numPr>
    </w:pPr>
  </w:style>
  <w:style w:type="paragraph" w:customStyle="1" w:styleId="ListAlpha2">
    <w:name w:val="List Alpha 2"/>
    <w:basedOn w:val="List2"/>
    <w:rsid w:val="006E621E"/>
    <w:pPr>
      <w:numPr>
        <w:numId w:val="7"/>
      </w:numPr>
    </w:pPr>
  </w:style>
  <w:style w:type="paragraph" w:styleId="List2">
    <w:name w:val="List 2"/>
    <w:basedOn w:val="BodyText"/>
    <w:rsid w:val="006E621E"/>
    <w:pPr>
      <w:tabs>
        <w:tab w:val="left" w:pos="680"/>
      </w:tabs>
      <w:spacing w:before="60" w:after="60"/>
      <w:ind w:left="680" w:hanging="340"/>
    </w:pPr>
  </w:style>
  <w:style w:type="paragraph" w:styleId="List3">
    <w:name w:val="List 3"/>
    <w:basedOn w:val="BodyText"/>
    <w:rsid w:val="006E621E"/>
    <w:pPr>
      <w:tabs>
        <w:tab w:val="left" w:pos="1021"/>
      </w:tabs>
      <w:spacing w:before="60" w:after="60"/>
      <w:ind w:left="1020" w:hanging="340"/>
    </w:pPr>
  </w:style>
  <w:style w:type="paragraph" w:styleId="List4">
    <w:name w:val="List 4"/>
    <w:basedOn w:val="BodyText"/>
    <w:rsid w:val="006E621E"/>
    <w:pPr>
      <w:tabs>
        <w:tab w:val="left" w:pos="1361"/>
      </w:tabs>
      <w:spacing w:before="60" w:after="60"/>
      <w:ind w:left="1361" w:hanging="340"/>
    </w:pPr>
  </w:style>
  <w:style w:type="paragraph" w:styleId="List5">
    <w:name w:val="List 5"/>
    <w:basedOn w:val="BodyText"/>
    <w:rsid w:val="006E621E"/>
    <w:pPr>
      <w:tabs>
        <w:tab w:val="left" w:pos="1701"/>
      </w:tabs>
      <w:spacing w:before="60" w:after="60"/>
      <w:ind w:left="1701" w:hanging="340"/>
    </w:pPr>
  </w:style>
  <w:style w:type="paragraph" w:styleId="ListBullet3">
    <w:name w:val="List Bullet 3"/>
    <w:basedOn w:val="List3"/>
    <w:rsid w:val="006E621E"/>
    <w:pPr>
      <w:numPr>
        <w:numId w:val="13"/>
      </w:numPr>
      <w:tabs>
        <w:tab w:val="clear" w:pos="1021"/>
      </w:tabs>
      <w:ind w:left="1037" w:hanging="357"/>
    </w:pPr>
  </w:style>
  <w:style w:type="paragraph" w:styleId="ListBullet4">
    <w:name w:val="List Bullet 4"/>
    <w:basedOn w:val="List4"/>
    <w:rsid w:val="006E621E"/>
    <w:pPr>
      <w:numPr>
        <w:numId w:val="2"/>
      </w:numPr>
      <w:tabs>
        <w:tab w:val="clear" w:pos="1361"/>
      </w:tabs>
    </w:pPr>
  </w:style>
  <w:style w:type="paragraph" w:styleId="ListBullet5">
    <w:name w:val="List Bullet 5"/>
    <w:basedOn w:val="List5"/>
    <w:rsid w:val="006E621E"/>
    <w:pPr>
      <w:numPr>
        <w:numId w:val="3"/>
      </w:numPr>
    </w:pPr>
  </w:style>
  <w:style w:type="paragraph" w:styleId="ListContinue2">
    <w:name w:val="List Continue 2"/>
    <w:basedOn w:val="List2"/>
    <w:rsid w:val="006E621E"/>
    <w:pPr>
      <w:ind w:firstLine="0"/>
    </w:pPr>
  </w:style>
  <w:style w:type="paragraph" w:styleId="ListContinue3">
    <w:name w:val="List Continue 3"/>
    <w:basedOn w:val="List3"/>
    <w:rsid w:val="006E621E"/>
    <w:pPr>
      <w:ind w:left="1021" w:firstLine="0"/>
    </w:pPr>
  </w:style>
  <w:style w:type="paragraph" w:styleId="ListContinue4">
    <w:name w:val="List Continue 4"/>
    <w:basedOn w:val="List4"/>
    <w:rsid w:val="006E621E"/>
    <w:pPr>
      <w:ind w:firstLine="0"/>
    </w:pPr>
  </w:style>
  <w:style w:type="paragraph" w:styleId="ListContinue5">
    <w:name w:val="List Continue 5"/>
    <w:basedOn w:val="List5"/>
    <w:rsid w:val="006E621E"/>
    <w:pPr>
      <w:ind w:firstLine="0"/>
    </w:pPr>
  </w:style>
  <w:style w:type="paragraph" w:styleId="ListNumber3">
    <w:name w:val="List Number 3"/>
    <w:basedOn w:val="List3"/>
    <w:rsid w:val="006E621E"/>
    <w:pPr>
      <w:numPr>
        <w:numId w:val="4"/>
      </w:numPr>
    </w:pPr>
  </w:style>
  <w:style w:type="paragraph" w:styleId="ListNumber4">
    <w:name w:val="List Number 4"/>
    <w:basedOn w:val="List4"/>
    <w:rsid w:val="006E621E"/>
    <w:pPr>
      <w:numPr>
        <w:numId w:val="5"/>
      </w:numPr>
    </w:pPr>
  </w:style>
  <w:style w:type="paragraph" w:styleId="ListNumber5">
    <w:name w:val="List Number 5"/>
    <w:basedOn w:val="List5"/>
    <w:rsid w:val="006E621E"/>
    <w:pPr>
      <w:numPr>
        <w:numId w:val="6"/>
      </w:numPr>
    </w:pPr>
  </w:style>
  <w:style w:type="paragraph" w:styleId="BlockText">
    <w:name w:val="Block Text"/>
    <w:basedOn w:val="Normal"/>
    <w:rsid w:val="006E621E"/>
    <w:pPr>
      <w:spacing w:after="120"/>
      <w:ind w:left="1440" w:right="1440"/>
    </w:pPr>
  </w:style>
  <w:style w:type="character" w:customStyle="1" w:styleId="Subscript">
    <w:name w:val="Subscript"/>
    <w:basedOn w:val="DefaultParagraphFont"/>
    <w:rsid w:val="006E621E"/>
    <w:rPr>
      <w:sz w:val="16"/>
      <w:vertAlign w:val="subscript"/>
    </w:rPr>
  </w:style>
  <w:style w:type="character" w:customStyle="1" w:styleId="Superscript">
    <w:name w:val="Superscript"/>
    <w:basedOn w:val="DefaultParagraphFont"/>
    <w:rsid w:val="006E621E"/>
    <w:rPr>
      <w:sz w:val="16"/>
      <w:vertAlign w:val="superscript"/>
    </w:rPr>
  </w:style>
  <w:style w:type="character" w:customStyle="1" w:styleId="Symbols">
    <w:name w:val="Symbols"/>
    <w:basedOn w:val="DefaultParagraphFont"/>
    <w:rsid w:val="006E621E"/>
    <w:rPr>
      <w:rFonts w:ascii="Symbol" w:hAnsi="Symbol"/>
    </w:rPr>
  </w:style>
  <w:style w:type="character" w:customStyle="1" w:styleId="MenuOptions">
    <w:name w:val="Menu Options"/>
    <w:basedOn w:val="DefaultParagraphFont"/>
    <w:rsid w:val="006E621E"/>
    <w:rPr>
      <w:rFonts w:ascii="Arial Narrow" w:hAnsi="Arial Narrow"/>
      <w:smallCaps/>
    </w:rPr>
  </w:style>
  <w:style w:type="character" w:customStyle="1" w:styleId="Buttons">
    <w:name w:val="Buttons"/>
    <w:basedOn w:val="DefaultParagraphFont"/>
    <w:rsid w:val="006E621E"/>
    <w:rPr>
      <w:b/>
    </w:rPr>
  </w:style>
  <w:style w:type="character" w:customStyle="1" w:styleId="Underlined">
    <w:name w:val="Underlined"/>
    <w:basedOn w:val="DefaultParagraphFont"/>
    <w:rsid w:val="006E621E"/>
    <w:rPr>
      <w:u w:val="single"/>
    </w:rPr>
  </w:style>
  <w:style w:type="paragraph" w:customStyle="1" w:styleId="TableBodyTextRight">
    <w:name w:val="Table Body Text Right"/>
    <w:basedOn w:val="TableBodyText"/>
    <w:rsid w:val="006E621E"/>
    <w:pPr>
      <w:widowControl w:val="0"/>
      <w:autoSpaceDE w:val="0"/>
      <w:autoSpaceDN w:val="0"/>
      <w:adjustRightInd w:val="0"/>
      <w:jc w:val="right"/>
    </w:pPr>
    <w:rPr>
      <w:rFonts w:cs="Arial"/>
      <w:szCs w:val="18"/>
    </w:rPr>
  </w:style>
  <w:style w:type="paragraph" w:customStyle="1" w:styleId="CopyrightText">
    <w:name w:val="Copyright Text"/>
    <w:basedOn w:val="BodyText"/>
    <w:rsid w:val="006E621E"/>
    <w:rPr>
      <w:sz w:val="18"/>
    </w:rPr>
  </w:style>
  <w:style w:type="paragraph" w:customStyle="1" w:styleId="BodySmallRight">
    <w:name w:val="Body Small Right"/>
    <w:basedOn w:val="BodyTextRight"/>
    <w:rsid w:val="006E621E"/>
    <w:rPr>
      <w:sz w:val="18"/>
      <w:szCs w:val="18"/>
    </w:rPr>
  </w:style>
  <w:style w:type="paragraph" w:customStyle="1" w:styleId="MarginEdition">
    <w:name w:val="Margin Edition"/>
    <w:basedOn w:val="MarginNote"/>
    <w:rsid w:val="006E621E"/>
    <w:pPr>
      <w:spacing w:before="0" w:after="0"/>
    </w:pPr>
    <w:rPr>
      <w:rFonts w:ascii="Times New Roman" w:hAnsi="Times New Roman"/>
      <w:color w:val="999999"/>
    </w:rPr>
  </w:style>
  <w:style w:type="paragraph" w:customStyle="1" w:styleId="Spacer">
    <w:name w:val="Spacer"/>
    <w:basedOn w:val="Normal"/>
    <w:rsid w:val="006E621E"/>
    <w:rPr>
      <w:sz w:val="2"/>
      <w:szCs w:val="2"/>
    </w:rPr>
  </w:style>
  <w:style w:type="character" w:customStyle="1" w:styleId="Small">
    <w:name w:val="Small"/>
    <w:basedOn w:val="DefaultParagraphFont"/>
    <w:rsid w:val="006E621E"/>
    <w:rPr>
      <w:sz w:val="16"/>
    </w:rPr>
  </w:style>
  <w:style w:type="paragraph" w:customStyle="1" w:styleId="WideTable">
    <w:name w:val="Wide Table"/>
    <w:basedOn w:val="Normal"/>
    <w:rsid w:val="006E621E"/>
    <w:pPr>
      <w:ind w:left="-1418"/>
    </w:pPr>
    <w:rPr>
      <w:sz w:val="2"/>
      <w:szCs w:val="2"/>
    </w:rPr>
  </w:style>
  <w:style w:type="character" w:styleId="PageNumber">
    <w:name w:val="page number"/>
    <w:basedOn w:val="DefaultParagraphFont"/>
    <w:rsid w:val="006E621E"/>
  </w:style>
  <w:style w:type="paragraph" w:styleId="Quote">
    <w:name w:val="Quote"/>
    <w:basedOn w:val="Heading1"/>
    <w:link w:val="QuoteChar"/>
    <w:qFormat/>
    <w:rsid w:val="006E621E"/>
    <w:rPr>
      <w:b w:val="0"/>
      <w:sz w:val="72"/>
      <w:szCs w:val="72"/>
      <w:lang w:val="en-NZ"/>
    </w:rPr>
  </w:style>
  <w:style w:type="character" w:customStyle="1" w:styleId="QuoteChar">
    <w:name w:val="Quote Char"/>
    <w:basedOn w:val="DefaultParagraphFont"/>
    <w:link w:val="Quote"/>
    <w:rsid w:val="006E62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21E"/>
    <w:pPr>
      <w:pageBreakBefore/>
    </w:pPr>
  </w:style>
  <w:style w:type="paragraph" w:customStyle="1" w:styleId="Border">
    <w:name w:val="Border"/>
    <w:basedOn w:val="Normal"/>
    <w:qFormat/>
    <w:rsid w:val="006E62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621E"/>
    <w:rPr>
      <w:b/>
      <w:bCs/>
      <w:i/>
      <w:iCs/>
      <w:color w:val="auto"/>
    </w:rPr>
  </w:style>
  <w:style w:type="paragraph" w:styleId="IntenseQuote">
    <w:name w:val="Intense Quote"/>
    <w:basedOn w:val="Normal"/>
    <w:next w:val="Normal"/>
    <w:link w:val="IntenseQuoteChar"/>
    <w:uiPriority w:val="30"/>
    <w:qFormat/>
    <w:rsid w:val="006E62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62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621E"/>
    <w:rPr>
      <w:smallCaps/>
      <w:color w:val="auto"/>
      <w:u w:val="single"/>
    </w:rPr>
  </w:style>
  <w:style w:type="character" w:styleId="IntenseReference">
    <w:name w:val="Intense Reference"/>
    <w:basedOn w:val="DefaultParagraphFont"/>
    <w:uiPriority w:val="32"/>
    <w:qFormat/>
    <w:rsid w:val="006E621E"/>
    <w:rPr>
      <w:b/>
      <w:bCs/>
      <w:smallCaps/>
      <w:color w:val="auto"/>
      <w:spacing w:val="5"/>
      <w:u w:val="single"/>
    </w:rPr>
  </w:style>
  <w:style w:type="paragraph" w:customStyle="1" w:styleId="2ColumnHeading">
    <w:name w:val="2Column Heading"/>
    <w:basedOn w:val="BodyText"/>
    <w:qFormat/>
    <w:rsid w:val="006E621E"/>
    <w:pPr>
      <w:spacing w:after="60"/>
      <w:ind w:left="-2268"/>
    </w:pPr>
    <w:rPr>
      <w:b/>
    </w:rPr>
  </w:style>
  <w:style w:type="paragraph" w:customStyle="1" w:styleId="Heading1TOC">
    <w:name w:val="Heading1 TOC"/>
    <w:basedOn w:val="Normal"/>
    <w:qFormat/>
    <w:rsid w:val="006E621E"/>
    <w:pPr>
      <w:spacing w:before="240" w:after="120"/>
    </w:pPr>
    <w:rPr>
      <w:rFonts w:ascii="Times New Roman" w:hAnsi="Times New Roman"/>
      <w:b/>
      <w:sz w:val="32"/>
    </w:rPr>
  </w:style>
  <w:style w:type="paragraph" w:customStyle="1" w:styleId="Heading2TOC">
    <w:name w:val="Heading2 TOC"/>
    <w:basedOn w:val="Normal"/>
    <w:qFormat/>
    <w:rsid w:val="006E621E"/>
    <w:pPr>
      <w:spacing w:before="240" w:after="60"/>
    </w:pPr>
    <w:rPr>
      <w:rFonts w:ascii="Times New Roman" w:hAnsi="Times New Roman"/>
      <w:b/>
      <w:sz w:val="28"/>
    </w:rPr>
  </w:style>
  <w:style w:type="character" w:customStyle="1" w:styleId="Underline">
    <w:name w:val="Underline"/>
    <w:basedOn w:val="DefaultParagraphFont"/>
    <w:qFormat/>
    <w:rsid w:val="006E621E"/>
    <w:rPr>
      <w:u w:val="single"/>
    </w:rPr>
  </w:style>
  <w:style w:type="character" w:customStyle="1" w:styleId="BoldandItalics">
    <w:name w:val="Bold and Italics"/>
    <w:qFormat/>
    <w:rsid w:val="006E621E"/>
    <w:rPr>
      <w:b/>
      <w:i/>
      <w:u w:val="none"/>
    </w:rPr>
  </w:style>
  <w:style w:type="paragraph" w:styleId="BalloonText">
    <w:name w:val="Balloon Text"/>
    <w:basedOn w:val="Normal"/>
    <w:link w:val="BalloonTextChar"/>
    <w:rsid w:val="006E621E"/>
    <w:rPr>
      <w:rFonts w:ascii="Tahoma" w:hAnsi="Tahoma" w:cs="Tahoma"/>
      <w:sz w:val="16"/>
      <w:szCs w:val="16"/>
    </w:rPr>
  </w:style>
  <w:style w:type="character" w:customStyle="1" w:styleId="BalloonTextChar">
    <w:name w:val="Balloon Text Char"/>
    <w:basedOn w:val="DefaultParagraphFont"/>
    <w:link w:val="BalloonText"/>
    <w:rsid w:val="006E62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62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62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621E"/>
    <w:rPr>
      <w:b/>
      <w:color w:val="660033"/>
      <w:spacing w:val="0"/>
    </w:rPr>
  </w:style>
  <w:style w:type="paragraph" w:customStyle="1" w:styleId="Nameditemlist">
    <w:name w:val="Named item list"/>
    <w:basedOn w:val="BodyText"/>
    <w:qFormat/>
    <w:rsid w:val="006E621E"/>
    <w:pPr>
      <w:tabs>
        <w:tab w:val="left" w:pos="2835"/>
      </w:tabs>
      <w:ind w:left="2835" w:hanging="2835"/>
    </w:pPr>
  </w:style>
  <w:style w:type="paragraph" w:customStyle="1" w:styleId="BodyTextnopadding">
    <w:name w:val="Body Text no padding"/>
    <w:basedOn w:val="BodyText"/>
    <w:qFormat/>
    <w:rsid w:val="006E621E"/>
    <w:pPr>
      <w:spacing w:before="0" w:after="0"/>
    </w:pPr>
  </w:style>
  <w:style w:type="paragraph" w:customStyle="1" w:styleId="BodyTextBold">
    <w:name w:val="Body Text Bold"/>
    <w:basedOn w:val="BodyText"/>
    <w:qFormat/>
    <w:rsid w:val="006E621E"/>
    <w:rPr>
      <w:b/>
    </w:rPr>
  </w:style>
  <w:style w:type="character" w:styleId="Hyperlink">
    <w:name w:val="Hyperlink"/>
    <w:basedOn w:val="DefaultParagraphFont"/>
    <w:uiPriority w:val="99"/>
    <w:unhideWhenUsed/>
    <w:rsid w:val="007C7A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1187</Words>
  <Characters>7693</Characters>
  <Application>Microsoft Office Word</Application>
  <DocSecurity>0</DocSecurity>
  <Lines>256</Lines>
  <Paragraphs>147</Paragraphs>
  <ScaleCrop>false</ScaleCrop>
  <Company>Author-it Software Corporation Ltd.</Company>
  <LinksUpToDate>false</LinksUpToDate>
  <CharactersWithSpaces>8733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TLIC3005 Drive heavy combination vehicle</dc:title>
  <dc:subject>Approved</dc:subject>
  <dc:creator>Industry Skills Australia</dc:creator>
  <cp:keywords>Release: 2</cp:keywords>
  <dc:description>Review Date: 12 April 2008</dc:description>
  <cp:lastModifiedBy>HSD_TPCMSd.prod</cp:lastModifiedBy>
  <cp:revision>3</cp:revision>
  <dcterms:created xsi:type="dcterms:W3CDTF">2025-03-01T23:39:00Z</dcterms:created>
  <dcterms:modified xsi:type="dcterms:W3CDTF">2025-03-01T23:39:00Z</dcterms:modified>
</cp:coreProperties>
</file>