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211" w:rsidP="00115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TLIC3003 Drive medium rigid vehicle</w:t>
      </w:r>
      <w:r>
        <w:fldChar w:fldCharType="end"/>
      </w:r>
    </w:p>
    <w:p w:rsidR="00115211" w:rsidP="00115211">
      <w:pPr>
        <w:pStyle w:val="Version"/>
        <w:sectPr w:rsidSect="000B2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2FAC" w:rsidP="000B2FAC">
      <w:pPr>
        <w:pStyle w:val="SuperHeading"/>
      </w:pPr>
      <w:r w:rsidRPr="000B2FAC">
        <w:t>TLIC3003 Drive medium rigid vehicle</w:t>
      </w:r>
    </w:p>
    <w:p w:rsidR="00000000" w:rsidRPr="000B2FAC" w:rsidP="000B2FAC">
      <w:pPr>
        <w:pStyle w:val="Heading1"/>
      </w:pPr>
      <w:bookmarkStart w:id="1" w:name="O_1066693"/>
      <w:bookmarkEnd w:id="1"/>
      <w:r w:rsidRPr="000B2F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 xml:space="preserve">Release 2. </w:t>
            </w:r>
            <w:r w:rsidRPr="000B2FAC">
              <w:t>This is the second release of this unit of competency in the TLI Transport and Logistics Training Package:</w:t>
            </w:r>
          </w:p>
          <w:p w:rsidR="00000000" w:rsidP="000B2FAC">
            <w:pPr>
              <w:pStyle w:val="ListBullet"/>
              <w:rPr>
                <w:lang w:val="en-NZ"/>
              </w:rPr>
            </w:pPr>
            <w:r w:rsidRPr="000B2FAC">
              <w:t>Minor statement changes in Assessment Conditions.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 xml:space="preserve">Release 1. </w:t>
            </w:r>
            <w:r w:rsidRPr="000B2FAC">
              <w:t>This is the first release of this unit of competency i</w:t>
            </w:r>
            <w:r w:rsidRPr="000B2FAC">
              <w:t>n the TLI Transport and Logistics Training Package.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2" w:name="O_1066692"/>
      <w:bookmarkEnd w:id="2"/>
      <w:r w:rsidRPr="000B2F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This unit involves the skills and knowledge required to drive a medium rigid vehicle safely in accordance with the licence requirements and regulations of the relevant sta</w:t>
            </w:r>
            <w:r w:rsidRPr="000B2FAC">
              <w:t>te/territory road and traffic authority pertaining to medium rigid vehicles.</w:t>
            </w:r>
          </w:p>
          <w:p w:rsidR="00000000" w:rsidRPr="000B2FAC" w:rsidP="000B2FAC">
            <w:pPr>
              <w:pStyle w:val="BodyText"/>
            </w:pPr>
            <w:r w:rsidRPr="000B2FAC">
              <w:t>It includes systematically and efficiently controlling vehicle functions, monitoring traffic and road conditions, managing vehicle condition and performance, and effectively manag</w:t>
            </w:r>
            <w:r w:rsidRPr="000B2FAC">
              <w:t>ing hazardous situations.</w:t>
            </w:r>
          </w:p>
          <w:p w:rsidR="00000000" w:rsidRPr="000B2FAC" w:rsidP="000B2FAC">
            <w:pPr>
              <w:pStyle w:val="BodyText"/>
            </w:pPr>
            <w:r w:rsidRPr="000B2FAC">
              <w:t>Types of vehicles include all medium rigid vehicles, for example, any 2-axle rigid vehicle, including trucks and buses greater than 8 tonnes gross vehicle mass (GVM).</w:t>
            </w:r>
          </w:p>
          <w:p w:rsidR="00000000" w:rsidRPr="000B2FAC" w:rsidP="000B2FAC">
            <w:pPr>
              <w:pStyle w:val="BodyText"/>
            </w:pPr>
            <w:r w:rsidRPr="000B2FAC">
              <w:t>Driving is performed with limited or minimum supervision, withi</w:t>
            </w:r>
            <w:r w:rsidRPr="000B2FAC">
              <w:t>n duty of care responsibility for self and others in achieving the prescribed outcomes.</w:t>
            </w:r>
          </w:p>
          <w:p w:rsidR="00000000" w:rsidRPr="000B2FAC" w:rsidP="000B2FAC">
            <w:pPr>
              <w:pStyle w:val="BodyText"/>
            </w:pPr>
            <w:r w:rsidRPr="000B2FAC">
              <w:t>No licensing, legislative or certification requirements apply to this unit at the time of publication.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3" w:name="O_1066691"/>
      <w:bookmarkEnd w:id="3"/>
      <w:r w:rsidRPr="000B2F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Not applicable.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4" w:name="O_1066690"/>
      <w:bookmarkEnd w:id="4"/>
      <w:r w:rsidRPr="000B2F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C – Vehicle Operation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5" w:name="O_1066689"/>
      <w:bookmarkEnd w:id="5"/>
      <w:r w:rsidRPr="000B2F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Not applicable.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6" w:name="O_1066688"/>
      <w:bookmarkEnd w:id="6"/>
      <w:r w:rsidRPr="000B2F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PERFORMANCE CRITERIA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Performance criteria describe the performance needed to demonstrate achievement of the element.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>Drive medium rigid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Medium rigid vehicle is started, steered, manoeuvred, positioned and stopped in accordance with traffic regulations and manu</w:t>
            </w:r>
            <w:r w:rsidRPr="000B2FAC">
              <w:t>facturer instructions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Engine power is managed to ensure efficiency and performance and to minimise engine and transmission damage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Engine operation is maintained within manufacturer specified torque range and temperature through effective transmission use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Braking system of medium rigid vehicle is managed and operated to ensure effective control of vehicle under all conditions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Driving hazards are identified and/or anticipated and avoided or controlled through defensive driving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Medium rigid vehicle is driven in reverse, maintaining visibility and achieving accurate positioning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Medium rigid vehicle is parked, shut down and secured in accordance with manufacturer specifications, traffic regulations and workplace procedures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Appropriate procedures are followed in a driving emergency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Most efficient travel route is taken through monitoring and anticipating traffic flows and conditions, road standards and other factors likely to cause delays or route deviations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Traffic and road conditions are constantly monitored and acted on to e</w:t>
            </w:r>
            <w:r w:rsidRPr="000B2FAC">
              <w:t>nable safe operation and to ensure no injury to people or damage to property, equipment, loads and facilities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Vehicle performance is maintained through pre-operational vehicle inspections and checks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>Performance and efficiency of vehicle operation are monitored during use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t xml:space="preserve">Defective or irregular performance or malfunctions are </w:t>
            </w:r>
            <w:r w:rsidRPr="000B2FAC">
              <w:t>reported to appropriate authority</w:t>
            </w:r>
          </w:p>
        </w:tc>
      </w:tr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AC">
            <w:pPr>
              <w:pStyle w:val="BodyText"/>
              <w:rPr>
                <w:lang w:val="en-NZ"/>
              </w:rPr>
            </w:pPr>
            <w:r w:rsidRPr="000B2FA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Vehicle records are maintained/updated and information is processed in accordanc</w:t>
            </w:r>
            <w:r w:rsidRPr="000B2FAC">
              <w:t>e with workplace procedures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7" w:name="O_1066687"/>
      <w:bookmarkEnd w:id="7"/>
      <w:r w:rsidRPr="000B2F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Foundation skills essential to performance are explicit in the performance criteria of this unit of competency.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8" w:name="O_1066686"/>
      <w:bookmarkEnd w:id="8"/>
      <w:r w:rsidRPr="000B2F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Range is restricted to essential operating conditions and any other variables essential to the work environment.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9" w:name="O_1066685"/>
      <w:bookmarkEnd w:id="9"/>
      <w:r w:rsidRPr="000B2F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AC" w:rsidP="000B2FAC">
            <w:pPr>
              <w:pStyle w:val="BodyText"/>
            </w:pPr>
            <w:r w:rsidRPr="000B2FAC">
              <w:t>This unit replaces and is equivalent to TLIC3003A Drive medium rigid vehicle.</w:t>
            </w:r>
          </w:p>
        </w:tc>
      </w:tr>
    </w:tbl>
    <w:p w:rsidR="00000000" w:rsidRPr="000B2FAC" w:rsidP="000B2FAC">
      <w:pPr>
        <w:pStyle w:val="NoPaddingFontSize1"/>
      </w:pPr>
    </w:p>
    <w:p w:rsidR="00000000" w:rsidRPr="000B2FAC" w:rsidP="000B2FAC">
      <w:pPr>
        <w:pStyle w:val="AllowPageBreak"/>
      </w:pPr>
    </w:p>
    <w:p w:rsidR="00000000" w:rsidRPr="000B2FAC" w:rsidP="000B2FAC">
      <w:pPr>
        <w:pStyle w:val="Heading1"/>
      </w:pPr>
      <w:bookmarkStart w:id="10" w:name="O_1066694"/>
      <w:bookmarkEnd w:id="10"/>
      <w:r w:rsidRPr="000B2FAC">
        <w:t>Links</w:t>
      </w:r>
    </w:p>
    <w:p w:rsidR="00000000" w:rsidRPr="000B2FAC" w:rsidP="00115211">
      <w:pPr>
        <w:pStyle w:val="BodyText"/>
      </w:pPr>
      <w:r w:rsidRPr="000B2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64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2FAC" w:rsidP="000B2FAC"/>
    <w:sectPr w:rsidSect="000B2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AC" w:rsidRPr="00115211" w:rsidP="00115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11" w:rsidP="000B2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211" w:rsidP="000B2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15211" w:rsidP="000B2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FAC" w:rsidRPr="00115211" w:rsidP="00115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11" w:rsidRPr="002D2AF8" w:rsidP="000B2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TLIC3003 Drive medium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15211" w:rsidP="000B2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B0A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D65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FAC"/>
  </w:style>
  <w:style w:type="character" w:customStyle="1" w:styleId="Heading1Char">
    <w:name w:val="Heading 1 Char"/>
    <w:basedOn w:val="DefaultParagraphFont"/>
    <w:link w:val="Heading1"/>
    <w:rsid w:val="000B2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F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FAC"/>
    <w:rPr>
      <w:b/>
      <w:spacing w:val="0"/>
    </w:rPr>
  </w:style>
  <w:style w:type="paragraph" w:customStyle="1" w:styleId="SuperHeading">
    <w:name w:val="SuperHeading"/>
    <w:basedOn w:val="Normal"/>
    <w:rsid w:val="000B2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2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F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FAC"/>
    <w:rPr>
      <w:i/>
    </w:rPr>
  </w:style>
  <w:style w:type="paragraph" w:styleId="Caption">
    <w:name w:val="caption"/>
    <w:basedOn w:val="BodyText"/>
    <w:next w:val="Normal"/>
    <w:qFormat/>
    <w:rsid w:val="000B2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FAC"/>
  </w:style>
  <w:style w:type="paragraph" w:styleId="TableofFigures">
    <w:name w:val="table of figures"/>
    <w:basedOn w:val="Normal"/>
    <w:next w:val="Normal"/>
    <w:semiHidden/>
    <w:rsid w:val="000B2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F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2FAC"/>
    <w:rPr>
      <w:rFonts w:ascii="Wingdings" w:hAnsi="Wingdings"/>
    </w:rPr>
  </w:style>
  <w:style w:type="paragraph" w:customStyle="1" w:styleId="TableHeading">
    <w:name w:val="Table Heading"/>
    <w:basedOn w:val="HeadingBase"/>
    <w:rsid w:val="000B2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FAC"/>
    <w:rPr>
      <w:color w:val="0033CC"/>
      <w:u w:val="none"/>
    </w:rPr>
  </w:style>
  <w:style w:type="paragraph" w:customStyle="1" w:styleId="BodyTextRight">
    <w:name w:val="Body Text Right"/>
    <w:basedOn w:val="BodyText"/>
    <w:rsid w:val="000B2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F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FAC"/>
    <w:rPr>
      <w:sz w:val="32"/>
    </w:rPr>
  </w:style>
  <w:style w:type="paragraph" w:customStyle="1" w:styleId="HeadingProcedure">
    <w:name w:val="Heading Procedure"/>
    <w:basedOn w:val="HeadingBase"/>
    <w:next w:val="Normal"/>
    <w:rsid w:val="000B2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FAC"/>
    <w:pPr>
      <w:spacing w:before="60" w:after="60"/>
    </w:pPr>
  </w:style>
  <w:style w:type="paragraph" w:styleId="ListContinue">
    <w:name w:val="List Continue"/>
    <w:basedOn w:val="List"/>
    <w:rsid w:val="000B2FAC"/>
    <w:pPr>
      <w:ind w:firstLine="0"/>
    </w:pPr>
  </w:style>
  <w:style w:type="paragraph" w:customStyle="1" w:styleId="ListNote">
    <w:name w:val="List Note"/>
    <w:basedOn w:val="List"/>
    <w:rsid w:val="000B2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FAC"/>
    <w:rPr>
      <w:rFonts w:ascii="Courier New" w:hAnsi="Courier New"/>
    </w:rPr>
  </w:style>
  <w:style w:type="paragraph" w:customStyle="1" w:styleId="NoteBullet">
    <w:name w:val="Note Bullet"/>
    <w:basedOn w:val="Note"/>
    <w:rsid w:val="000B2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F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FAC"/>
    <w:rPr>
      <w:b/>
      <w:smallCaps/>
    </w:rPr>
  </w:style>
  <w:style w:type="paragraph" w:customStyle="1" w:styleId="TableListNumber">
    <w:name w:val="Table List Number"/>
    <w:basedOn w:val="ListNumber"/>
    <w:rsid w:val="000B2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FAC"/>
    <w:pPr>
      <w:numPr>
        <w:numId w:val="8"/>
      </w:numPr>
    </w:pPr>
  </w:style>
  <w:style w:type="paragraph" w:customStyle="1" w:styleId="ListAlpha2">
    <w:name w:val="List Alpha 2"/>
    <w:basedOn w:val="List2"/>
    <w:rsid w:val="000B2FAC"/>
    <w:pPr>
      <w:numPr>
        <w:numId w:val="7"/>
      </w:numPr>
    </w:pPr>
  </w:style>
  <w:style w:type="paragraph" w:styleId="List2">
    <w:name w:val="List 2"/>
    <w:basedOn w:val="BodyText"/>
    <w:rsid w:val="000B2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F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F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FAC"/>
    <w:pPr>
      <w:numPr>
        <w:numId w:val="3"/>
      </w:numPr>
    </w:pPr>
  </w:style>
  <w:style w:type="paragraph" w:styleId="ListContinue2">
    <w:name w:val="List Continue 2"/>
    <w:basedOn w:val="List2"/>
    <w:rsid w:val="000B2FAC"/>
    <w:pPr>
      <w:ind w:firstLine="0"/>
    </w:pPr>
  </w:style>
  <w:style w:type="paragraph" w:styleId="ListContinue3">
    <w:name w:val="List Continue 3"/>
    <w:basedOn w:val="List3"/>
    <w:rsid w:val="000B2FAC"/>
    <w:pPr>
      <w:ind w:left="1021" w:firstLine="0"/>
    </w:pPr>
  </w:style>
  <w:style w:type="paragraph" w:styleId="ListContinue4">
    <w:name w:val="List Continue 4"/>
    <w:basedOn w:val="List4"/>
    <w:rsid w:val="000B2FAC"/>
    <w:pPr>
      <w:ind w:firstLine="0"/>
    </w:pPr>
  </w:style>
  <w:style w:type="paragraph" w:styleId="ListContinue5">
    <w:name w:val="List Continue 5"/>
    <w:basedOn w:val="List5"/>
    <w:rsid w:val="000B2FAC"/>
    <w:pPr>
      <w:ind w:firstLine="0"/>
    </w:pPr>
  </w:style>
  <w:style w:type="paragraph" w:styleId="ListNumber3">
    <w:name w:val="List Number 3"/>
    <w:basedOn w:val="List3"/>
    <w:rsid w:val="000B2FAC"/>
    <w:pPr>
      <w:numPr>
        <w:numId w:val="4"/>
      </w:numPr>
    </w:pPr>
  </w:style>
  <w:style w:type="paragraph" w:styleId="ListNumber4">
    <w:name w:val="List Number 4"/>
    <w:basedOn w:val="List4"/>
    <w:rsid w:val="000B2FAC"/>
    <w:pPr>
      <w:numPr>
        <w:numId w:val="5"/>
      </w:numPr>
    </w:pPr>
  </w:style>
  <w:style w:type="paragraph" w:styleId="ListNumber5">
    <w:name w:val="List Number 5"/>
    <w:basedOn w:val="List5"/>
    <w:rsid w:val="000B2FAC"/>
    <w:pPr>
      <w:numPr>
        <w:numId w:val="6"/>
      </w:numPr>
    </w:pPr>
  </w:style>
  <w:style w:type="paragraph" w:styleId="BlockText">
    <w:name w:val="Block Text"/>
    <w:basedOn w:val="Normal"/>
    <w:rsid w:val="000B2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FAC"/>
    <w:rPr>
      <w:sz w:val="16"/>
      <w:vertAlign w:val="superscript"/>
    </w:rPr>
  </w:style>
  <w:style w:type="character" w:customStyle="1" w:styleId="Symbols">
    <w:name w:val="Symbols"/>
    <w:basedOn w:val="DefaultParagraphFont"/>
    <w:rsid w:val="000B2FAC"/>
    <w:rPr>
      <w:rFonts w:ascii="Symbol" w:hAnsi="Symbol"/>
    </w:rPr>
  </w:style>
  <w:style w:type="character" w:customStyle="1" w:styleId="MenuOptions">
    <w:name w:val="Menu Options"/>
    <w:basedOn w:val="DefaultParagraphFont"/>
    <w:rsid w:val="000B2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FAC"/>
    <w:rPr>
      <w:b/>
    </w:rPr>
  </w:style>
  <w:style w:type="character" w:customStyle="1" w:styleId="Underlined">
    <w:name w:val="Underlined"/>
    <w:basedOn w:val="DefaultParagraphFont"/>
    <w:rsid w:val="000B2FAC"/>
    <w:rPr>
      <w:u w:val="single"/>
    </w:rPr>
  </w:style>
  <w:style w:type="paragraph" w:customStyle="1" w:styleId="TableBodyTextRight">
    <w:name w:val="Table Body Text Right"/>
    <w:basedOn w:val="TableBodyText"/>
    <w:rsid w:val="000B2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FAC"/>
    <w:rPr>
      <w:sz w:val="18"/>
    </w:rPr>
  </w:style>
  <w:style w:type="paragraph" w:customStyle="1" w:styleId="BodySmallRight">
    <w:name w:val="Body Small Right"/>
    <w:basedOn w:val="BodyTextRight"/>
    <w:rsid w:val="000B2FAC"/>
    <w:rPr>
      <w:sz w:val="18"/>
      <w:szCs w:val="18"/>
    </w:rPr>
  </w:style>
  <w:style w:type="paragraph" w:customStyle="1" w:styleId="MarginEdition">
    <w:name w:val="Margin Edition"/>
    <w:basedOn w:val="MarginNote"/>
    <w:rsid w:val="000B2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FAC"/>
    <w:rPr>
      <w:sz w:val="2"/>
      <w:szCs w:val="2"/>
    </w:rPr>
  </w:style>
  <w:style w:type="character" w:customStyle="1" w:styleId="Small">
    <w:name w:val="Small"/>
    <w:basedOn w:val="DefaultParagraphFont"/>
    <w:rsid w:val="000B2FAC"/>
    <w:rPr>
      <w:sz w:val="16"/>
    </w:rPr>
  </w:style>
  <w:style w:type="paragraph" w:customStyle="1" w:styleId="WideTable">
    <w:name w:val="Wide Table"/>
    <w:basedOn w:val="Normal"/>
    <w:rsid w:val="000B2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FAC"/>
  </w:style>
  <w:style w:type="paragraph" w:styleId="Quote">
    <w:name w:val="Quote"/>
    <w:basedOn w:val="Heading1"/>
    <w:link w:val="QuoteChar"/>
    <w:qFormat/>
    <w:rsid w:val="000B2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FAC"/>
    <w:pPr>
      <w:pageBreakBefore/>
    </w:pPr>
  </w:style>
  <w:style w:type="paragraph" w:customStyle="1" w:styleId="Border">
    <w:name w:val="Border"/>
    <w:basedOn w:val="Normal"/>
    <w:qFormat/>
    <w:rsid w:val="000B2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FAC"/>
    <w:rPr>
      <w:u w:val="single"/>
    </w:rPr>
  </w:style>
  <w:style w:type="character" w:customStyle="1" w:styleId="BoldandItalics">
    <w:name w:val="Bold and Italics"/>
    <w:qFormat/>
    <w:rsid w:val="000B2FAC"/>
    <w:rPr>
      <w:b/>
      <w:i/>
      <w:u w:val="none"/>
    </w:rPr>
  </w:style>
  <w:style w:type="paragraph" w:styleId="BalloonText">
    <w:name w:val="Balloon Text"/>
    <w:basedOn w:val="Normal"/>
    <w:link w:val="BalloonTextChar"/>
    <w:rsid w:val="000B2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FAC"/>
    <w:pPr>
      <w:spacing w:before="0" w:after="0"/>
    </w:pPr>
  </w:style>
  <w:style w:type="paragraph" w:customStyle="1" w:styleId="BodyTextBold">
    <w:name w:val="Body Text Bold"/>
    <w:basedOn w:val="BodyText"/>
    <w:qFormat/>
    <w:rsid w:val="000B2FAC"/>
    <w:rPr>
      <w:b/>
    </w:rPr>
  </w:style>
  <w:style w:type="character" w:styleId="Hyperlink">
    <w:name w:val="Hyperlink"/>
    <w:basedOn w:val="DefaultParagraphFont"/>
    <w:uiPriority w:val="99"/>
    <w:unhideWhenUsed/>
    <w:rsid w:val="00115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3562</Characters>
  <Application>Microsoft Office Word</Application>
  <DocSecurity>0</DocSecurity>
  <Lines>154</Lines>
  <Paragraphs>80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TLIC3003 Drive medium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